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黑体"/>
          <w:bCs/>
          <w:szCs w:val="21"/>
        </w:rPr>
      </w:pPr>
      <w:bookmarkStart w:id="0" w:name="_GoBack"/>
      <w:bookmarkEnd w:id="0"/>
    </w:p>
    <w:p>
      <w:pPr>
        <w:jc w:val="center"/>
        <w:rPr>
          <w:rFonts w:ascii="仿宋" w:hAnsi="仿宋" w:eastAsia="仿宋"/>
          <w:bCs/>
          <w:szCs w:val="21"/>
        </w:rPr>
      </w:pPr>
    </w:p>
    <w:p>
      <w:pPr>
        <w:jc w:val="center"/>
        <w:rPr>
          <w:rFonts w:ascii="黑体" w:hAnsi="黑体" w:eastAsia="黑体"/>
          <w:bCs/>
          <w:sz w:val="44"/>
          <w:szCs w:val="44"/>
        </w:rPr>
      </w:pPr>
      <w:r>
        <w:rPr>
          <w:rFonts w:hint="eastAsia" w:ascii="黑体" w:hAnsi="黑体" w:eastAsia="黑体"/>
          <w:bCs/>
          <w:sz w:val="44"/>
          <w:szCs w:val="44"/>
        </w:rPr>
        <w:t>岳阳市2020年度部门整体支出</w:t>
      </w:r>
    </w:p>
    <w:p>
      <w:pPr>
        <w:jc w:val="center"/>
        <w:rPr>
          <w:rFonts w:ascii="黑体" w:hAnsi="黑体" w:eastAsia="黑体"/>
          <w:bCs/>
          <w:sz w:val="44"/>
          <w:szCs w:val="44"/>
        </w:rPr>
      </w:pPr>
      <w:r>
        <w:rPr>
          <w:rFonts w:hint="eastAsia" w:ascii="黑体" w:hAnsi="黑体" w:eastAsia="黑体"/>
          <w:bCs/>
          <w:sz w:val="44"/>
          <w:szCs w:val="44"/>
        </w:rPr>
        <w:t>绩效评价自评报告</w:t>
      </w:r>
    </w:p>
    <w:p>
      <w:pPr>
        <w:rPr>
          <w:rFonts w:ascii="仿宋" w:hAnsi="仿宋" w:eastAsia="仿宋"/>
          <w:b/>
          <w:sz w:val="32"/>
          <w:szCs w:val="32"/>
        </w:rPr>
      </w:pPr>
    </w:p>
    <w:p>
      <w:pPr>
        <w:rPr>
          <w:rFonts w:ascii="仿宋" w:hAnsi="仿宋" w:eastAsia="仿宋"/>
          <w:b/>
          <w:sz w:val="32"/>
          <w:szCs w:val="32"/>
        </w:rPr>
      </w:pPr>
    </w:p>
    <w:p>
      <w:pPr>
        <w:rPr>
          <w:rFonts w:ascii="仿宋" w:hAnsi="仿宋" w:eastAsia="仿宋"/>
          <w:b/>
          <w:sz w:val="32"/>
          <w:szCs w:val="32"/>
        </w:rPr>
      </w:pPr>
    </w:p>
    <w:p>
      <w:pPr>
        <w:spacing w:beforeLines="50"/>
        <w:ind w:firstLine="476" w:firstLineChars="150"/>
        <w:rPr>
          <w:rFonts w:ascii="仿宋" w:hAnsi="仿宋" w:eastAsia="仿宋"/>
          <w:sz w:val="32"/>
          <w:szCs w:val="32"/>
          <w:u w:val="single"/>
        </w:rPr>
      </w:pPr>
      <w:r>
        <w:rPr>
          <w:rFonts w:hint="eastAsia" w:ascii="仿宋" w:hAnsi="仿宋" w:eastAsia="仿宋"/>
          <w:sz w:val="32"/>
          <w:szCs w:val="32"/>
        </w:rPr>
        <w:t>部门(单位)名称：</w:t>
      </w:r>
      <w:r>
        <w:rPr>
          <w:rFonts w:hint="eastAsia" w:ascii="仿宋" w:hAnsi="仿宋" w:eastAsia="仿宋"/>
          <w:sz w:val="32"/>
          <w:szCs w:val="32"/>
          <w:u w:val="single"/>
        </w:rPr>
        <w:t xml:space="preserve"> 岳阳市自然资源和规划局云溪区分局   </w:t>
      </w:r>
    </w:p>
    <w:p>
      <w:pPr>
        <w:spacing w:beforeLines="50"/>
        <w:ind w:firstLine="476" w:firstLineChars="150"/>
        <w:rPr>
          <w:rFonts w:ascii="仿宋" w:hAnsi="仿宋" w:eastAsia="仿宋"/>
          <w:spacing w:val="20"/>
          <w:sz w:val="32"/>
          <w:szCs w:val="32"/>
        </w:rPr>
      </w:pPr>
      <w:r>
        <w:rPr>
          <w:rFonts w:hint="eastAsia" w:ascii="仿宋" w:hAnsi="仿宋" w:eastAsia="仿宋"/>
          <w:sz w:val="32"/>
          <w:szCs w:val="32"/>
        </w:rPr>
        <w:t>预</w:t>
      </w:r>
      <w:r>
        <w:rPr>
          <w:rFonts w:hint="eastAsia" w:ascii="仿宋" w:hAnsi="仿宋" w:eastAsia="仿宋"/>
          <w:spacing w:val="30"/>
          <w:sz w:val="32"/>
          <w:szCs w:val="32"/>
        </w:rPr>
        <w:t xml:space="preserve"> 算 编 码：</w:t>
      </w:r>
      <w:r>
        <w:rPr>
          <w:rFonts w:hint="eastAsia" w:ascii="仿宋" w:hAnsi="仿宋" w:eastAsia="仿宋"/>
          <w:spacing w:val="20"/>
          <w:sz w:val="32"/>
          <w:szCs w:val="32"/>
          <w:u w:val="single"/>
        </w:rPr>
        <w:t xml:space="preserve"> 406001                           </w:t>
      </w:r>
    </w:p>
    <w:p>
      <w:pPr>
        <w:spacing w:beforeLines="50"/>
        <w:ind w:firstLine="476" w:firstLineChars="150"/>
        <w:rPr>
          <w:rFonts w:ascii="仿宋" w:hAnsi="仿宋" w:eastAsia="仿宋"/>
          <w:sz w:val="32"/>
          <w:szCs w:val="32"/>
        </w:rPr>
      </w:pPr>
      <w:r>
        <w:rPr>
          <w:rFonts w:hint="eastAsia" w:ascii="仿宋" w:hAnsi="仿宋" w:eastAsia="仿宋"/>
          <w:sz w:val="32"/>
          <w:szCs w:val="32"/>
        </w:rPr>
        <w:t>评价方式：部门（单位）绩效自评</w:t>
      </w:r>
    </w:p>
    <w:p>
      <w:pPr>
        <w:spacing w:beforeLines="50"/>
        <w:ind w:firstLine="476" w:firstLineChars="150"/>
        <w:rPr>
          <w:rFonts w:ascii="仿宋" w:hAnsi="仿宋" w:eastAsia="仿宋"/>
          <w:sz w:val="32"/>
          <w:szCs w:val="32"/>
        </w:rPr>
      </w:pPr>
      <w:r>
        <w:rPr>
          <w:rFonts w:hint="eastAsia" w:ascii="仿宋" w:hAnsi="仿宋" w:eastAsia="仿宋"/>
          <w:sz w:val="32"/>
          <w:szCs w:val="32"/>
        </w:rPr>
        <w:t xml:space="preserve">评价机构：部门（单位）评价组   </w:t>
      </w:r>
    </w:p>
    <w:p>
      <w:pPr>
        <w:ind w:firstLine="2188" w:firstLineChars="690"/>
        <w:rPr>
          <w:rFonts w:ascii="仿宋" w:hAnsi="仿宋" w:eastAsia="仿宋"/>
          <w:sz w:val="32"/>
          <w:szCs w:val="32"/>
        </w:rPr>
      </w:pPr>
    </w:p>
    <w:p>
      <w:pPr>
        <w:ind w:firstLine="2188" w:firstLineChars="690"/>
        <w:rPr>
          <w:rFonts w:ascii="仿宋" w:hAnsi="仿宋" w:eastAsia="仿宋"/>
          <w:sz w:val="32"/>
          <w:szCs w:val="32"/>
        </w:rPr>
      </w:pPr>
    </w:p>
    <w:p>
      <w:pPr>
        <w:ind w:firstLine="2188" w:firstLineChars="690"/>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报告日期：2021年6月7日</w:t>
      </w:r>
    </w:p>
    <w:p>
      <w:pPr>
        <w:autoSpaceDN w:val="0"/>
        <w:jc w:val="center"/>
        <w:textAlignment w:val="center"/>
        <w:rPr>
          <w:rFonts w:ascii="仿宋" w:hAnsi="仿宋" w:eastAsia="仿宋"/>
          <w:szCs w:val="21"/>
        </w:rPr>
        <w:sectPr>
          <w:headerReference r:id="rId3" w:type="default"/>
          <w:footerReference r:id="rId4" w:type="default"/>
          <w:footerReference r:id="rId5" w:type="even"/>
          <w:pgSz w:w="11906" w:h="16838"/>
          <w:pgMar w:top="1247" w:right="1588" w:bottom="1247" w:left="1588" w:header="851" w:footer="992" w:gutter="0"/>
          <w:pgNumType w:start="1"/>
          <w:cols w:space="720" w:num="1"/>
          <w:docGrid w:type="linesAndChars" w:linePitch="602" w:charSpace="-782"/>
        </w:sectPr>
      </w:pPr>
      <w:r>
        <w:rPr>
          <w:rFonts w:hint="eastAsia" w:ascii="仿宋" w:hAnsi="仿宋" w:eastAsia="仿宋"/>
          <w:sz w:val="32"/>
          <w:szCs w:val="32"/>
        </w:rPr>
        <w:t>岳阳市财政局（制）</w:t>
      </w:r>
    </w:p>
    <w:tbl>
      <w:tblPr>
        <w:tblStyle w:val="7"/>
        <w:tblW w:w="89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5" w:type="dxa"/>
          <w:bottom w:w="0" w:type="dxa"/>
          <w:right w:w="15" w:type="dxa"/>
        </w:tblCellMar>
      </w:tblPr>
      <w:tblGrid>
        <w:gridCol w:w="865"/>
        <w:gridCol w:w="1777"/>
        <w:gridCol w:w="1044"/>
        <w:gridCol w:w="12"/>
        <w:gridCol w:w="270"/>
        <w:gridCol w:w="658"/>
        <w:gridCol w:w="269"/>
        <w:gridCol w:w="1802"/>
        <w:gridCol w:w="821"/>
        <w:gridCol w:w="613"/>
        <w:gridCol w:w="750"/>
        <w:gridCol w:w="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901" w:type="dxa"/>
            <w:gridSpan w:val="1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黑体"/>
                <w:color w:val="000000"/>
                <w:sz w:val="24"/>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联系人</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游正来</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联络电话</w:t>
            </w:r>
          </w:p>
        </w:tc>
        <w:tc>
          <w:tcPr>
            <w:tcW w:w="4006" w:type="dxa"/>
            <w:gridSpan w:val="5"/>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8417300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人员编制</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50</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实有人数</w:t>
            </w:r>
          </w:p>
        </w:tc>
        <w:tc>
          <w:tcPr>
            <w:tcW w:w="4006" w:type="dxa"/>
            <w:gridSpan w:val="5"/>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职能职责概述</w:t>
            </w:r>
          </w:p>
        </w:tc>
        <w:tc>
          <w:tcPr>
            <w:tcW w:w="8036" w:type="dxa"/>
            <w:gridSpan w:val="11"/>
            <w:vAlign w:val="center"/>
          </w:tcPr>
          <w:p>
            <w:pPr>
              <w:autoSpaceDN w:val="0"/>
              <w:ind w:firstLine="480" w:firstLineChars="200"/>
              <w:jc w:val="left"/>
              <w:textAlignment w:val="center"/>
              <w:rPr>
                <w:rFonts w:ascii="仿宋" w:hAnsi="仿宋" w:eastAsia="仿宋" w:cs="仿宋_GB2312"/>
                <w:color w:val="000000"/>
                <w:sz w:val="24"/>
              </w:rPr>
            </w:pPr>
            <w:r>
              <w:rPr>
                <w:rFonts w:hint="eastAsia" w:ascii="仿宋" w:hAnsi="仿宋" w:eastAsia="仿宋" w:cs="仿宋_GB2312"/>
                <w:color w:val="000000"/>
                <w:sz w:val="24"/>
              </w:rPr>
              <w:t>依法履行全民所土地、矿产、森林、湿地、水等自然资源资产所有者职责和国土空间用途管制职责，负责辖区内自然资源确认登记管理，国土空间用途管制管理、工程管理、村镇规划管理、耕地保护监督管理、国土空间生态修复管理、地质灾害和矿产资源管理、自然资源和规划法制管理，根据授权委托，具体承办辖区内违反自然资源和规划法律法规规章的违法案件的调查取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年度主要</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工作内容</w:t>
            </w:r>
          </w:p>
        </w:tc>
        <w:tc>
          <w:tcPr>
            <w:tcW w:w="8036" w:type="dxa"/>
            <w:gridSpan w:val="11"/>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任务1：摸清家底，做好国土资源清查工作。</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任务2：严格三线管控，编好村庄规划。</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任务3：加强耕地保护和土地整治开发。</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任务4：开展农村乱占耕地建房摸排工作。</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任务5：强力推进“月清三地”工作，加大执法工作力度。</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任务6：稳妥推进房地一体登记颁证工作。</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任务7：积极开展“最多跑一次”改革。</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任务8：深化开展干部队伍建设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865" w:type="dxa"/>
            <w:vAlign w:val="center"/>
          </w:tcPr>
          <w:p>
            <w:pPr>
              <w:autoSpaceDN w:val="0"/>
              <w:jc w:val="center"/>
              <w:textAlignment w:val="center"/>
              <w:rPr>
                <w:rFonts w:ascii="仿宋" w:hAnsi="仿宋" w:eastAsia="仿宋" w:cs="仿宋_GB2312"/>
                <w:color w:val="000000"/>
                <w:spacing w:val="-6"/>
                <w:sz w:val="24"/>
              </w:rPr>
            </w:pPr>
            <w:r>
              <w:rPr>
                <w:rFonts w:hint="eastAsia" w:ascii="仿宋" w:hAnsi="仿宋" w:eastAsia="仿宋" w:cs="仿宋_GB2312"/>
                <w:color w:val="000000"/>
                <w:spacing w:val="-6"/>
                <w:sz w:val="24"/>
              </w:rPr>
              <w:t>年度部门（单位）总体运行情况及取得的成绩</w:t>
            </w:r>
          </w:p>
        </w:tc>
        <w:tc>
          <w:tcPr>
            <w:tcW w:w="8036" w:type="dxa"/>
            <w:gridSpan w:val="11"/>
            <w:vAlign w:val="center"/>
          </w:tcPr>
          <w:p>
            <w:pPr>
              <w:autoSpaceDN w:val="0"/>
              <w:ind w:firstLine="480" w:firstLineChars="200"/>
              <w:jc w:val="left"/>
              <w:textAlignment w:val="center"/>
              <w:rPr>
                <w:rFonts w:ascii="仿宋" w:hAnsi="仿宋" w:eastAsia="仿宋" w:cs="仿宋_GB2312"/>
                <w:color w:val="000000"/>
                <w:sz w:val="24"/>
              </w:rPr>
            </w:pPr>
            <w:r>
              <w:rPr>
                <w:rFonts w:hint="eastAsia" w:ascii="仿宋" w:hAnsi="仿宋" w:eastAsia="仿宋" w:cs="仿宋_GB2312"/>
                <w:color w:val="000000"/>
                <w:sz w:val="24"/>
              </w:rPr>
              <w:t>2020年度，在区委区政府的坚强领导下，区自然资源局强担当履职责，围绕中心服务大局，保护资源保障发展，较好地完成了自然资源和规划管理各项目标任务。</w:t>
            </w:r>
          </w:p>
          <w:p>
            <w:pPr>
              <w:autoSpaceDN w:val="0"/>
              <w:ind w:firstLine="480" w:firstLineChars="200"/>
              <w:jc w:val="left"/>
              <w:textAlignment w:val="center"/>
              <w:rPr>
                <w:rFonts w:ascii="仿宋" w:hAnsi="仿宋" w:eastAsia="仿宋" w:cs="仿宋_GB2312"/>
                <w:color w:val="000000"/>
                <w:sz w:val="24"/>
              </w:rPr>
            </w:pPr>
            <w:r>
              <w:rPr>
                <w:rFonts w:hint="eastAsia" w:ascii="仿宋" w:hAnsi="仿宋" w:eastAsia="仿宋" w:cs="仿宋_GB2312"/>
                <w:color w:val="000000"/>
                <w:sz w:val="24"/>
              </w:rPr>
              <w:t>一、立足长远，为云溪区的发展做好了空间规划。</w:t>
            </w:r>
          </w:p>
          <w:p>
            <w:pPr>
              <w:autoSpaceDN w:val="0"/>
              <w:ind w:firstLine="480" w:firstLineChars="200"/>
              <w:jc w:val="left"/>
              <w:textAlignment w:val="center"/>
              <w:rPr>
                <w:rFonts w:ascii="仿宋" w:hAnsi="仿宋" w:eastAsia="仿宋" w:cs="仿宋_GB2312"/>
                <w:color w:val="000000"/>
                <w:sz w:val="24"/>
              </w:rPr>
            </w:pPr>
            <w:r>
              <w:rPr>
                <w:rFonts w:hint="eastAsia" w:ascii="仿宋" w:hAnsi="仿宋" w:eastAsia="仿宋" w:cs="仿宋_GB2312"/>
                <w:color w:val="000000"/>
                <w:sz w:val="24"/>
              </w:rPr>
              <w:t>二、尽职尽责，保护了区内的自然资源。</w:t>
            </w:r>
          </w:p>
          <w:p>
            <w:pPr>
              <w:autoSpaceDN w:val="0"/>
              <w:ind w:firstLine="480" w:firstLineChars="200"/>
              <w:jc w:val="left"/>
              <w:textAlignment w:val="center"/>
              <w:rPr>
                <w:rFonts w:ascii="仿宋" w:hAnsi="仿宋" w:eastAsia="仿宋" w:cs="仿宋_GB2312"/>
                <w:color w:val="000000"/>
                <w:sz w:val="24"/>
              </w:rPr>
            </w:pPr>
            <w:r>
              <w:rPr>
                <w:rFonts w:hint="eastAsia" w:ascii="仿宋" w:hAnsi="仿宋" w:eastAsia="仿宋" w:cs="仿宋_GB2312"/>
                <w:color w:val="000000"/>
                <w:sz w:val="24"/>
              </w:rPr>
              <w:t>三、全力以赴，保障了项目发展建设。</w:t>
            </w:r>
          </w:p>
          <w:p>
            <w:pPr>
              <w:autoSpaceDN w:val="0"/>
              <w:ind w:firstLine="480" w:firstLineChars="200"/>
              <w:jc w:val="left"/>
              <w:textAlignment w:val="center"/>
              <w:rPr>
                <w:rFonts w:ascii="仿宋" w:hAnsi="仿宋" w:eastAsia="仿宋" w:cs="仿宋_GB2312"/>
                <w:color w:val="000000"/>
                <w:sz w:val="24"/>
              </w:rPr>
            </w:pPr>
            <w:r>
              <w:rPr>
                <w:rFonts w:hint="eastAsia" w:ascii="仿宋" w:hAnsi="仿宋" w:eastAsia="仿宋" w:cs="仿宋_GB2312"/>
                <w:color w:val="000000"/>
                <w:sz w:val="24"/>
              </w:rPr>
              <w:t>四、全心全意，服务了企业群众。</w:t>
            </w:r>
          </w:p>
          <w:p>
            <w:pPr>
              <w:autoSpaceDN w:val="0"/>
              <w:ind w:firstLine="480" w:firstLineChars="200"/>
              <w:jc w:val="left"/>
              <w:textAlignment w:val="center"/>
              <w:rPr>
                <w:rFonts w:ascii="仿宋" w:hAnsi="仿宋" w:eastAsia="仿宋" w:cs="仿宋_GB2312"/>
                <w:color w:val="000000"/>
                <w:sz w:val="24"/>
              </w:rPr>
            </w:pPr>
            <w:r>
              <w:rPr>
                <w:rFonts w:hint="eastAsia" w:ascii="仿宋" w:hAnsi="仿宋" w:eastAsia="仿宋" w:cs="仿宋_GB2312"/>
                <w:color w:val="000000"/>
                <w:sz w:val="24"/>
              </w:rPr>
              <w:t>五、持之以恒，抓好了干部队伍建设。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901" w:type="dxa"/>
            <w:gridSpan w:val="1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黑体"/>
                <w:color w:val="000000"/>
                <w:sz w:val="24"/>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901" w:type="dxa"/>
            <w:gridSpan w:val="1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65" w:type="dxa"/>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机构名称</w:t>
            </w:r>
          </w:p>
        </w:tc>
        <w:tc>
          <w:tcPr>
            <w:tcW w:w="1777" w:type="dxa"/>
            <w:vMerge w:val="restart"/>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收入合计</w:t>
            </w:r>
          </w:p>
        </w:tc>
        <w:tc>
          <w:tcPr>
            <w:tcW w:w="6259" w:type="dxa"/>
            <w:gridSpan w:val="10"/>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1014" w:hRule="atLeast"/>
          <w:jc w:val="center"/>
        </w:trPr>
        <w:tc>
          <w:tcPr>
            <w:tcW w:w="865" w:type="dxa"/>
            <w:vMerge w:val="continue"/>
            <w:vAlign w:val="center"/>
          </w:tcPr>
          <w:p>
            <w:pPr>
              <w:autoSpaceDN w:val="0"/>
              <w:jc w:val="center"/>
              <w:textAlignment w:val="center"/>
              <w:rPr>
                <w:rFonts w:ascii="仿宋" w:hAnsi="仿宋" w:eastAsia="仿宋" w:cs="仿宋_GB2312"/>
                <w:color w:val="000000"/>
                <w:sz w:val="24"/>
              </w:rPr>
            </w:pPr>
          </w:p>
        </w:tc>
        <w:tc>
          <w:tcPr>
            <w:tcW w:w="1777" w:type="dxa"/>
            <w:vMerge w:val="continue"/>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上年结转</w:t>
            </w:r>
          </w:p>
        </w:tc>
        <w:tc>
          <w:tcPr>
            <w:tcW w:w="940"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公共财</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政拨款</w:t>
            </w:r>
          </w:p>
        </w:tc>
        <w:tc>
          <w:tcPr>
            <w:tcW w:w="2071"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政府基金拨款</w:t>
            </w:r>
          </w:p>
        </w:tc>
        <w:tc>
          <w:tcPr>
            <w:tcW w:w="1434"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纳入专户管理的非税收入拨款</w:t>
            </w:r>
          </w:p>
        </w:tc>
        <w:tc>
          <w:tcPr>
            <w:tcW w:w="750"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其他</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772"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局机关及二级机构汇总</w:t>
            </w:r>
          </w:p>
        </w:tc>
        <w:tc>
          <w:tcPr>
            <w:tcW w:w="1777" w:type="dxa"/>
            <w:tcBorders>
              <w:right w:val="single" w:color="auto" w:sz="4" w:space="0"/>
            </w:tcBorders>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1329.83</w:t>
            </w:r>
          </w:p>
        </w:tc>
        <w:tc>
          <w:tcPr>
            <w:tcW w:w="1044" w:type="dxa"/>
            <w:tcBorders>
              <w:left w:val="single" w:color="auto" w:sz="4" w:space="0"/>
            </w:tcBorders>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743.00</w:t>
            </w:r>
          </w:p>
        </w:tc>
        <w:tc>
          <w:tcPr>
            <w:tcW w:w="940" w:type="dxa"/>
            <w:gridSpan w:val="3"/>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604.48</w:t>
            </w:r>
          </w:p>
        </w:tc>
        <w:tc>
          <w:tcPr>
            <w:tcW w:w="2071" w:type="dxa"/>
            <w:gridSpan w:val="2"/>
            <w:vAlign w:val="center"/>
          </w:tcPr>
          <w:p>
            <w:pPr>
              <w:autoSpaceDN w:val="0"/>
              <w:jc w:val="left"/>
              <w:textAlignment w:val="center"/>
              <w:rPr>
                <w:rFonts w:ascii="仿宋" w:hAnsi="仿宋" w:eastAsia="仿宋" w:cs="仿宋_GB2312"/>
                <w:color w:val="000000"/>
                <w:sz w:val="24"/>
              </w:rPr>
            </w:pPr>
          </w:p>
        </w:tc>
        <w:tc>
          <w:tcPr>
            <w:tcW w:w="1434"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210</w:t>
            </w:r>
          </w:p>
        </w:tc>
        <w:tc>
          <w:tcPr>
            <w:tcW w:w="750" w:type="dxa"/>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515.35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567" w:hRule="atLeast"/>
          <w:jc w:val="center"/>
        </w:trPr>
        <w:tc>
          <w:tcPr>
            <w:tcW w:w="865" w:type="dxa"/>
            <w:vAlign w:val="center"/>
          </w:tcPr>
          <w:p>
            <w:pPr>
              <w:rPr>
                <w:rFonts w:ascii="仿宋" w:hAnsi="仿宋" w:eastAsia="仿宋" w:cs="仿宋_GB2312"/>
                <w:sz w:val="24"/>
              </w:rPr>
            </w:pPr>
            <w:r>
              <w:rPr>
                <w:rFonts w:hint="eastAsia" w:ascii="仿宋" w:hAnsi="仿宋" w:eastAsia="仿宋" w:cs="仿宋_GB2312"/>
                <w:sz w:val="24"/>
              </w:rPr>
              <w:t>1、局机关</w:t>
            </w:r>
          </w:p>
        </w:tc>
        <w:tc>
          <w:tcPr>
            <w:tcW w:w="1777" w:type="dxa"/>
            <w:tcBorders>
              <w:right w:val="single" w:color="auto" w:sz="4" w:space="0"/>
            </w:tcBorders>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1329.83</w:t>
            </w:r>
          </w:p>
        </w:tc>
        <w:tc>
          <w:tcPr>
            <w:tcW w:w="1044" w:type="dxa"/>
            <w:tcBorders>
              <w:left w:val="single" w:color="auto" w:sz="4" w:space="0"/>
            </w:tcBorders>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743.00</w:t>
            </w:r>
          </w:p>
        </w:tc>
        <w:tc>
          <w:tcPr>
            <w:tcW w:w="940" w:type="dxa"/>
            <w:gridSpan w:val="3"/>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604.48</w:t>
            </w:r>
          </w:p>
        </w:tc>
        <w:tc>
          <w:tcPr>
            <w:tcW w:w="2071" w:type="dxa"/>
            <w:gridSpan w:val="2"/>
            <w:vAlign w:val="center"/>
          </w:tcPr>
          <w:p>
            <w:pPr>
              <w:autoSpaceDN w:val="0"/>
              <w:jc w:val="left"/>
              <w:textAlignment w:val="center"/>
              <w:rPr>
                <w:rFonts w:ascii="仿宋" w:hAnsi="仿宋" w:eastAsia="仿宋" w:cs="仿宋_GB2312"/>
                <w:color w:val="000000"/>
                <w:sz w:val="24"/>
              </w:rPr>
            </w:pPr>
          </w:p>
        </w:tc>
        <w:tc>
          <w:tcPr>
            <w:tcW w:w="1434"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210</w:t>
            </w:r>
          </w:p>
        </w:tc>
        <w:tc>
          <w:tcPr>
            <w:tcW w:w="750" w:type="dxa"/>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515.35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567" w:hRule="atLeast"/>
          <w:jc w:val="center"/>
        </w:trPr>
        <w:tc>
          <w:tcPr>
            <w:tcW w:w="865" w:type="dxa"/>
            <w:vAlign w:val="center"/>
          </w:tcPr>
          <w:p>
            <w:pPr>
              <w:rPr>
                <w:rFonts w:ascii="仿宋" w:hAnsi="仿宋" w:eastAsia="仿宋" w:cs="仿宋_GB2312"/>
                <w:sz w:val="24"/>
              </w:rPr>
            </w:pPr>
            <w:r>
              <w:rPr>
                <w:rFonts w:hint="eastAsia" w:ascii="仿宋" w:hAnsi="仿宋" w:eastAsia="仿宋" w:cs="仿宋_GB2312"/>
                <w:sz w:val="24"/>
              </w:rPr>
              <w:t>2、二级机构1</w:t>
            </w:r>
          </w:p>
        </w:tc>
        <w:tc>
          <w:tcPr>
            <w:tcW w:w="1777" w:type="dxa"/>
            <w:tcBorders>
              <w:right w:val="single" w:color="auto" w:sz="4" w:space="0"/>
            </w:tcBorders>
            <w:vAlign w:val="center"/>
          </w:tcPr>
          <w:p>
            <w:pPr>
              <w:autoSpaceDN w:val="0"/>
              <w:jc w:val="left"/>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left"/>
              <w:textAlignment w:val="center"/>
              <w:rPr>
                <w:rFonts w:ascii="仿宋" w:hAnsi="仿宋" w:eastAsia="仿宋" w:cs="仿宋_GB2312"/>
                <w:color w:val="000000"/>
                <w:sz w:val="24"/>
              </w:rPr>
            </w:pPr>
          </w:p>
        </w:tc>
        <w:tc>
          <w:tcPr>
            <w:tcW w:w="940" w:type="dxa"/>
            <w:gridSpan w:val="3"/>
            <w:vAlign w:val="center"/>
          </w:tcPr>
          <w:p>
            <w:pPr>
              <w:autoSpaceDN w:val="0"/>
              <w:jc w:val="left"/>
              <w:textAlignment w:val="center"/>
              <w:rPr>
                <w:rFonts w:ascii="仿宋" w:hAnsi="仿宋" w:eastAsia="仿宋" w:cs="仿宋_GB2312"/>
                <w:color w:val="000000"/>
                <w:sz w:val="24"/>
              </w:rPr>
            </w:pPr>
          </w:p>
        </w:tc>
        <w:tc>
          <w:tcPr>
            <w:tcW w:w="2071" w:type="dxa"/>
            <w:gridSpan w:val="2"/>
            <w:vAlign w:val="center"/>
          </w:tcPr>
          <w:p>
            <w:pPr>
              <w:autoSpaceDN w:val="0"/>
              <w:jc w:val="left"/>
              <w:textAlignment w:val="center"/>
              <w:rPr>
                <w:rFonts w:ascii="仿宋" w:hAnsi="仿宋" w:eastAsia="仿宋" w:cs="仿宋_GB2312"/>
                <w:color w:val="000000"/>
                <w:sz w:val="24"/>
              </w:rPr>
            </w:pPr>
          </w:p>
        </w:tc>
        <w:tc>
          <w:tcPr>
            <w:tcW w:w="1434" w:type="dxa"/>
            <w:gridSpan w:val="2"/>
            <w:vAlign w:val="center"/>
          </w:tcPr>
          <w:p>
            <w:pPr>
              <w:autoSpaceDN w:val="0"/>
              <w:jc w:val="center"/>
              <w:textAlignment w:val="center"/>
              <w:rPr>
                <w:rFonts w:ascii="仿宋" w:hAnsi="仿宋" w:eastAsia="仿宋" w:cs="仿宋_GB2312"/>
                <w:color w:val="000000"/>
                <w:sz w:val="24"/>
              </w:rPr>
            </w:pPr>
          </w:p>
        </w:tc>
        <w:tc>
          <w:tcPr>
            <w:tcW w:w="750" w:type="dxa"/>
            <w:vAlign w:val="center"/>
          </w:tcPr>
          <w:p>
            <w:pPr>
              <w:autoSpaceDN w:val="0"/>
              <w:jc w:val="left"/>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567" w:hRule="atLeast"/>
          <w:jc w:val="center"/>
        </w:trPr>
        <w:tc>
          <w:tcPr>
            <w:tcW w:w="865" w:type="dxa"/>
            <w:vAlign w:val="center"/>
          </w:tcPr>
          <w:p>
            <w:pPr>
              <w:rPr>
                <w:rFonts w:ascii="仿宋" w:hAnsi="仿宋" w:eastAsia="仿宋" w:cs="仿宋_GB2312"/>
                <w:sz w:val="24"/>
              </w:rPr>
            </w:pPr>
            <w:r>
              <w:rPr>
                <w:rFonts w:hint="eastAsia" w:ascii="仿宋" w:hAnsi="仿宋" w:eastAsia="仿宋" w:cs="仿宋_GB2312"/>
                <w:sz w:val="24"/>
              </w:rPr>
              <w:t>3、二级机构2</w:t>
            </w:r>
          </w:p>
        </w:tc>
        <w:tc>
          <w:tcPr>
            <w:tcW w:w="1777" w:type="dxa"/>
            <w:tcBorders>
              <w:right w:val="single" w:color="auto" w:sz="4" w:space="0"/>
            </w:tcBorders>
            <w:vAlign w:val="center"/>
          </w:tcPr>
          <w:p>
            <w:pPr>
              <w:autoSpaceDN w:val="0"/>
              <w:jc w:val="left"/>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left"/>
              <w:textAlignment w:val="center"/>
              <w:rPr>
                <w:rFonts w:ascii="仿宋" w:hAnsi="仿宋" w:eastAsia="仿宋" w:cs="仿宋_GB2312"/>
                <w:color w:val="000000"/>
                <w:sz w:val="24"/>
              </w:rPr>
            </w:pPr>
          </w:p>
        </w:tc>
        <w:tc>
          <w:tcPr>
            <w:tcW w:w="940" w:type="dxa"/>
            <w:gridSpan w:val="3"/>
            <w:vAlign w:val="center"/>
          </w:tcPr>
          <w:p>
            <w:pPr>
              <w:autoSpaceDN w:val="0"/>
              <w:jc w:val="left"/>
              <w:textAlignment w:val="center"/>
              <w:rPr>
                <w:rFonts w:ascii="仿宋" w:hAnsi="仿宋" w:eastAsia="仿宋" w:cs="仿宋_GB2312"/>
                <w:color w:val="000000"/>
                <w:sz w:val="24"/>
              </w:rPr>
            </w:pPr>
          </w:p>
        </w:tc>
        <w:tc>
          <w:tcPr>
            <w:tcW w:w="2071" w:type="dxa"/>
            <w:gridSpan w:val="2"/>
            <w:vAlign w:val="center"/>
          </w:tcPr>
          <w:p>
            <w:pPr>
              <w:autoSpaceDN w:val="0"/>
              <w:jc w:val="left"/>
              <w:textAlignment w:val="center"/>
              <w:rPr>
                <w:rFonts w:ascii="仿宋" w:hAnsi="仿宋" w:eastAsia="仿宋" w:cs="仿宋_GB2312"/>
                <w:color w:val="000000"/>
                <w:sz w:val="24"/>
              </w:rPr>
            </w:pPr>
          </w:p>
        </w:tc>
        <w:tc>
          <w:tcPr>
            <w:tcW w:w="1434" w:type="dxa"/>
            <w:gridSpan w:val="2"/>
            <w:vAlign w:val="center"/>
          </w:tcPr>
          <w:p>
            <w:pPr>
              <w:autoSpaceDN w:val="0"/>
              <w:jc w:val="center"/>
              <w:textAlignment w:val="center"/>
              <w:rPr>
                <w:rFonts w:ascii="仿宋" w:hAnsi="仿宋" w:eastAsia="仿宋" w:cs="仿宋_GB2312"/>
                <w:color w:val="000000"/>
                <w:sz w:val="24"/>
              </w:rPr>
            </w:pPr>
          </w:p>
        </w:tc>
        <w:tc>
          <w:tcPr>
            <w:tcW w:w="750" w:type="dxa"/>
            <w:vAlign w:val="center"/>
          </w:tcPr>
          <w:p>
            <w:pPr>
              <w:autoSpaceDN w:val="0"/>
              <w:jc w:val="left"/>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8901" w:type="dxa"/>
            <w:gridSpan w:val="1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Merge w:val="restart"/>
            <w:vAlign w:val="center"/>
          </w:tcPr>
          <w:p>
            <w:pPr>
              <w:snapToGrid w:val="0"/>
              <w:jc w:val="center"/>
              <w:rPr>
                <w:rFonts w:ascii="仿宋" w:hAnsi="仿宋" w:eastAsia="仿宋" w:cs="仿宋_GB2312"/>
                <w:sz w:val="24"/>
              </w:rPr>
            </w:pPr>
            <w:r>
              <w:rPr>
                <w:rFonts w:hint="eastAsia" w:ascii="仿宋" w:hAnsi="仿宋" w:eastAsia="仿宋" w:cs="仿宋_GB2312"/>
                <w:sz w:val="24"/>
              </w:rPr>
              <w:t>机构名称</w:t>
            </w:r>
          </w:p>
        </w:tc>
        <w:tc>
          <w:tcPr>
            <w:tcW w:w="1777" w:type="dxa"/>
            <w:vMerge w:val="restart"/>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支出合计</w:t>
            </w:r>
          </w:p>
        </w:tc>
        <w:tc>
          <w:tcPr>
            <w:tcW w:w="4876" w:type="dxa"/>
            <w:gridSpan w:val="7"/>
            <w:tcBorders>
              <w:left w:val="single" w:color="auto" w:sz="4" w:space="0"/>
              <w:bottom w:val="single" w:color="auto" w:sz="4" w:space="0"/>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其中：</w:t>
            </w:r>
          </w:p>
        </w:tc>
        <w:tc>
          <w:tcPr>
            <w:tcW w:w="1363" w:type="dxa"/>
            <w:gridSpan w:val="2"/>
            <w:tcBorders>
              <w:left w:val="single" w:color="auto" w:sz="4" w:space="0"/>
              <w:bottom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Merge w:val="continue"/>
            <w:vAlign w:val="center"/>
          </w:tcPr>
          <w:p>
            <w:pPr>
              <w:jc w:val="center"/>
              <w:rPr>
                <w:rFonts w:ascii="仿宋" w:hAnsi="仿宋" w:eastAsia="仿宋" w:cs="仿宋_GB2312"/>
                <w:sz w:val="24"/>
              </w:rPr>
            </w:pPr>
          </w:p>
        </w:tc>
        <w:tc>
          <w:tcPr>
            <w:tcW w:w="1777" w:type="dxa"/>
            <w:vMerge w:val="continue"/>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vMerge w:val="restart"/>
            <w:tcBorders>
              <w:top w:val="single" w:color="auto" w:sz="4" w:space="0"/>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基本支出</w:t>
            </w:r>
          </w:p>
        </w:tc>
        <w:tc>
          <w:tcPr>
            <w:tcW w:w="3011" w:type="dxa"/>
            <w:gridSpan w:val="5"/>
            <w:tcBorders>
              <w:top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其中：</w:t>
            </w:r>
          </w:p>
        </w:tc>
        <w:tc>
          <w:tcPr>
            <w:tcW w:w="821" w:type="dxa"/>
            <w:vMerge w:val="restart"/>
            <w:tcBorders>
              <w:top w:val="single" w:color="auto" w:sz="4" w:space="0"/>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项目支出</w:t>
            </w:r>
          </w:p>
        </w:tc>
        <w:tc>
          <w:tcPr>
            <w:tcW w:w="613" w:type="dxa"/>
            <w:vMerge w:val="restart"/>
            <w:tcBorders>
              <w:top w:val="single" w:color="auto" w:sz="4" w:space="0"/>
              <w:left w:val="single" w:color="auto" w:sz="4" w:space="0"/>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当年结余</w:t>
            </w:r>
          </w:p>
        </w:tc>
        <w:tc>
          <w:tcPr>
            <w:tcW w:w="750" w:type="dxa"/>
            <w:vMerge w:val="restart"/>
            <w:tcBorders>
              <w:top w:val="single" w:color="auto" w:sz="4" w:space="0"/>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Merge w:val="continue"/>
            <w:vAlign w:val="center"/>
          </w:tcPr>
          <w:p>
            <w:pPr>
              <w:jc w:val="center"/>
              <w:rPr>
                <w:rFonts w:ascii="仿宋" w:hAnsi="仿宋" w:eastAsia="仿宋" w:cs="仿宋_GB2312"/>
                <w:sz w:val="24"/>
              </w:rPr>
            </w:pPr>
          </w:p>
        </w:tc>
        <w:tc>
          <w:tcPr>
            <w:tcW w:w="1777" w:type="dxa"/>
            <w:vMerge w:val="continue"/>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vMerge w:val="continue"/>
            <w:tcBorders>
              <w:left w:val="single" w:color="auto" w:sz="4" w:space="0"/>
            </w:tcBorders>
            <w:vAlign w:val="center"/>
          </w:tcPr>
          <w:p>
            <w:pPr>
              <w:autoSpaceDN w:val="0"/>
              <w:jc w:val="center"/>
              <w:textAlignment w:val="center"/>
              <w:rPr>
                <w:rFonts w:ascii="仿宋" w:hAnsi="仿宋" w:eastAsia="仿宋" w:cs="仿宋_GB2312"/>
                <w:color w:val="000000"/>
                <w:sz w:val="24"/>
              </w:rPr>
            </w:pPr>
          </w:p>
        </w:tc>
        <w:tc>
          <w:tcPr>
            <w:tcW w:w="940"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人员支出</w:t>
            </w:r>
          </w:p>
        </w:tc>
        <w:tc>
          <w:tcPr>
            <w:tcW w:w="2071"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公用支出</w:t>
            </w:r>
          </w:p>
        </w:tc>
        <w:tc>
          <w:tcPr>
            <w:tcW w:w="821" w:type="dxa"/>
            <w:vMerge w:val="continue"/>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613" w:type="dxa"/>
            <w:vMerge w:val="continue"/>
            <w:tcBorders>
              <w:left w:val="single" w:color="auto" w:sz="4" w:space="0"/>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750" w:type="dxa"/>
            <w:vMerge w:val="continue"/>
            <w:tcBorders>
              <w:left w:val="single" w:color="auto" w:sz="4" w:space="0"/>
            </w:tcBorders>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877"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color w:val="000000"/>
                <w:sz w:val="24"/>
              </w:rPr>
              <w:t>局机关及二级机构汇总</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2072.83</w:t>
            </w: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1443.38</w:t>
            </w:r>
          </w:p>
        </w:tc>
        <w:tc>
          <w:tcPr>
            <w:tcW w:w="940"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660.01</w:t>
            </w:r>
          </w:p>
        </w:tc>
        <w:tc>
          <w:tcPr>
            <w:tcW w:w="2071"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783.37</w:t>
            </w:r>
          </w:p>
        </w:tc>
        <w:tc>
          <w:tcPr>
            <w:tcW w:w="821"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629.45</w:t>
            </w:r>
          </w:p>
        </w:tc>
        <w:tc>
          <w:tcPr>
            <w:tcW w:w="613"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c>
          <w:tcPr>
            <w:tcW w:w="750"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color w:val="000000"/>
                <w:sz w:val="24"/>
              </w:rPr>
            </w:pPr>
            <w:r>
              <w:rPr>
                <w:rFonts w:hint="eastAsia" w:ascii="仿宋" w:hAnsi="仿宋" w:eastAsia="仿宋" w:cs="仿宋_GB2312"/>
                <w:sz w:val="24"/>
              </w:rPr>
              <w:t>1、局机关</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2072.83</w:t>
            </w: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1443.38</w:t>
            </w:r>
          </w:p>
        </w:tc>
        <w:tc>
          <w:tcPr>
            <w:tcW w:w="940"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660.01</w:t>
            </w:r>
          </w:p>
        </w:tc>
        <w:tc>
          <w:tcPr>
            <w:tcW w:w="2071"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783.37</w:t>
            </w:r>
          </w:p>
        </w:tc>
        <w:tc>
          <w:tcPr>
            <w:tcW w:w="821"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629.45</w:t>
            </w:r>
          </w:p>
        </w:tc>
        <w:tc>
          <w:tcPr>
            <w:tcW w:w="613"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c>
          <w:tcPr>
            <w:tcW w:w="750"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color w:val="000000"/>
                <w:sz w:val="24"/>
              </w:rPr>
            </w:pPr>
            <w:r>
              <w:rPr>
                <w:rFonts w:hint="eastAsia" w:ascii="仿宋" w:hAnsi="仿宋" w:eastAsia="仿宋" w:cs="仿宋_GB2312"/>
                <w:sz w:val="24"/>
              </w:rPr>
              <w:t>2、二级机构1</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p>
        </w:tc>
        <w:tc>
          <w:tcPr>
            <w:tcW w:w="940" w:type="dxa"/>
            <w:gridSpan w:val="3"/>
            <w:vAlign w:val="center"/>
          </w:tcPr>
          <w:p>
            <w:pPr>
              <w:autoSpaceDN w:val="0"/>
              <w:jc w:val="center"/>
              <w:textAlignment w:val="center"/>
              <w:rPr>
                <w:rFonts w:ascii="仿宋" w:hAnsi="仿宋" w:eastAsia="仿宋" w:cs="仿宋_GB2312"/>
                <w:color w:val="000000"/>
                <w:sz w:val="24"/>
              </w:rPr>
            </w:pPr>
          </w:p>
        </w:tc>
        <w:tc>
          <w:tcPr>
            <w:tcW w:w="2071" w:type="dxa"/>
            <w:gridSpan w:val="2"/>
            <w:vAlign w:val="center"/>
          </w:tcPr>
          <w:p>
            <w:pPr>
              <w:autoSpaceDN w:val="0"/>
              <w:jc w:val="center"/>
              <w:textAlignment w:val="center"/>
              <w:rPr>
                <w:rFonts w:ascii="仿宋" w:hAnsi="仿宋" w:eastAsia="仿宋" w:cs="仿宋_GB2312"/>
                <w:color w:val="000000"/>
                <w:sz w:val="24"/>
              </w:rPr>
            </w:pPr>
          </w:p>
        </w:tc>
        <w:tc>
          <w:tcPr>
            <w:tcW w:w="821" w:type="dxa"/>
            <w:vAlign w:val="center"/>
          </w:tcPr>
          <w:p>
            <w:pPr>
              <w:autoSpaceDN w:val="0"/>
              <w:jc w:val="center"/>
              <w:textAlignment w:val="center"/>
              <w:rPr>
                <w:rFonts w:ascii="仿宋" w:hAnsi="仿宋" w:eastAsia="仿宋" w:cs="仿宋_GB2312"/>
                <w:color w:val="000000"/>
                <w:sz w:val="24"/>
              </w:rPr>
            </w:pPr>
          </w:p>
        </w:tc>
        <w:tc>
          <w:tcPr>
            <w:tcW w:w="613"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750" w:type="dxa"/>
            <w:tcBorders>
              <w:left w:val="single" w:color="auto" w:sz="4" w:space="0"/>
            </w:tcBorders>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color w:val="000000"/>
                <w:sz w:val="24"/>
              </w:rPr>
            </w:pPr>
            <w:r>
              <w:rPr>
                <w:rFonts w:hint="eastAsia" w:ascii="仿宋" w:hAnsi="仿宋" w:eastAsia="仿宋" w:cs="仿宋_GB2312"/>
                <w:sz w:val="24"/>
              </w:rPr>
              <w:t>3、二级机构2</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p>
        </w:tc>
        <w:tc>
          <w:tcPr>
            <w:tcW w:w="940" w:type="dxa"/>
            <w:gridSpan w:val="3"/>
            <w:vAlign w:val="center"/>
          </w:tcPr>
          <w:p>
            <w:pPr>
              <w:autoSpaceDN w:val="0"/>
              <w:jc w:val="center"/>
              <w:textAlignment w:val="center"/>
              <w:rPr>
                <w:rFonts w:ascii="仿宋" w:hAnsi="仿宋" w:eastAsia="仿宋" w:cs="仿宋_GB2312"/>
                <w:color w:val="000000"/>
                <w:sz w:val="24"/>
              </w:rPr>
            </w:pPr>
          </w:p>
        </w:tc>
        <w:tc>
          <w:tcPr>
            <w:tcW w:w="2071" w:type="dxa"/>
            <w:gridSpan w:val="2"/>
            <w:vAlign w:val="center"/>
          </w:tcPr>
          <w:p>
            <w:pPr>
              <w:autoSpaceDN w:val="0"/>
              <w:jc w:val="center"/>
              <w:textAlignment w:val="center"/>
              <w:rPr>
                <w:rFonts w:ascii="仿宋" w:hAnsi="仿宋" w:eastAsia="仿宋" w:cs="仿宋_GB2312"/>
                <w:color w:val="000000"/>
                <w:sz w:val="24"/>
              </w:rPr>
            </w:pPr>
          </w:p>
        </w:tc>
        <w:tc>
          <w:tcPr>
            <w:tcW w:w="821" w:type="dxa"/>
            <w:vAlign w:val="center"/>
          </w:tcPr>
          <w:p>
            <w:pPr>
              <w:autoSpaceDN w:val="0"/>
              <w:jc w:val="center"/>
              <w:textAlignment w:val="center"/>
              <w:rPr>
                <w:rFonts w:ascii="仿宋" w:hAnsi="仿宋" w:eastAsia="仿宋" w:cs="仿宋_GB2312"/>
                <w:color w:val="000000"/>
                <w:sz w:val="24"/>
              </w:rPr>
            </w:pPr>
          </w:p>
        </w:tc>
        <w:tc>
          <w:tcPr>
            <w:tcW w:w="613"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750" w:type="dxa"/>
            <w:tcBorders>
              <w:left w:val="single" w:color="auto" w:sz="4" w:space="0"/>
            </w:tcBorders>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Merge w:val="restart"/>
            <w:vAlign w:val="center"/>
          </w:tcPr>
          <w:p>
            <w:pPr>
              <w:jc w:val="center"/>
              <w:rPr>
                <w:rFonts w:ascii="仿宋" w:hAnsi="仿宋" w:eastAsia="仿宋" w:cs="仿宋_GB2312"/>
                <w:sz w:val="24"/>
              </w:rPr>
            </w:pPr>
            <w:r>
              <w:rPr>
                <w:rFonts w:hint="eastAsia" w:ascii="仿宋" w:hAnsi="仿宋" w:eastAsia="仿宋" w:cs="仿宋_GB2312"/>
                <w:sz w:val="24"/>
              </w:rPr>
              <w:t>机构名称</w:t>
            </w:r>
          </w:p>
        </w:tc>
        <w:tc>
          <w:tcPr>
            <w:tcW w:w="1777" w:type="dxa"/>
            <w:vMerge w:val="restart"/>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三公经费</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合计</w:t>
            </w:r>
          </w:p>
        </w:tc>
        <w:tc>
          <w:tcPr>
            <w:tcW w:w="6239" w:type="dxa"/>
            <w:gridSpan w:val="9"/>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Merge w:val="continue"/>
            <w:vAlign w:val="center"/>
          </w:tcPr>
          <w:p>
            <w:pPr>
              <w:jc w:val="center"/>
              <w:rPr>
                <w:rFonts w:ascii="仿宋" w:hAnsi="仿宋" w:eastAsia="仿宋" w:cs="仿宋_GB2312"/>
                <w:sz w:val="24"/>
              </w:rPr>
            </w:pPr>
          </w:p>
        </w:tc>
        <w:tc>
          <w:tcPr>
            <w:tcW w:w="1777" w:type="dxa"/>
            <w:vMerge w:val="continue"/>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公务接待费</w:t>
            </w:r>
          </w:p>
        </w:tc>
        <w:tc>
          <w:tcPr>
            <w:tcW w:w="940"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公务用车运维费</w:t>
            </w:r>
          </w:p>
        </w:tc>
        <w:tc>
          <w:tcPr>
            <w:tcW w:w="2071"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公务用车购置费</w:t>
            </w:r>
          </w:p>
        </w:tc>
        <w:tc>
          <w:tcPr>
            <w:tcW w:w="2184"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858"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color w:val="000000"/>
                <w:sz w:val="24"/>
              </w:rPr>
              <w:t>局机关及二级机构汇总</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8.54</w:t>
            </w: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1.18</w:t>
            </w:r>
          </w:p>
        </w:tc>
        <w:tc>
          <w:tcPr>
            <w:tcW w:w="940"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7.36</w:t>
            </w:r>
          </w:p>
        </w:tc>
        <w:tc>
          <w:tcPr>
            <w:tcW w:w="2071"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c>
          <w:tcPr>
            <w:tcW w:w="2184"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sz w:val="24"/>
              </w:rPr>
              <w:t>1、局机关</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8.54</w:t>
            </w: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1.18</w:t>
            </w:r>
          </w:p>
        </w:tc>
        <w:tc>
          <w:tcPr>
            <w:tcW w:w="940"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7.36</w:t>
            </w:r>
          </w:p>
        </w:tc>
        <w:tc>
          <w:tcPr>
            <w:tcW w:w="2071"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c>
          <w:tcPr>
            <w:tcW w:w="2184" w:type="dxa"/>
            <w:gridSpan w:val="3"/>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sz w:val="24"/>
              </w:rPr>
              <w:t>2、二级机构1</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p>
        </w:tc>
        <w:tc>
          <w:tcPr>
            <w:tcW w:w="940" w:type="dxa"/>
            <w:gridSpan w:val="3"/>
            <w:vAlign w:val="center"/>
          </w:tcPr>
          <w:p>
            <w:pPr>
              <w:autoSpaceDN w:val="0"/>
              <w:jc w:val="center"/>
              <w:textAlignment w:val="center"/>
              <w:rPr>
                <w:rFonts w:ascii="仿宋" w:hAnsi="仿宋" w:eastAsia="仿宋" w:cs="仿宋_GB2312"/>
                <w:color w:val="000000"/>
                <w:sz w:val="24"/>
              </w:rPr>
            </w:pPr>
          </w:p>
        </w:tc>
        <w:tc>
          <w:tcPr>
            <w:tcW w:w="2071" w:type="dxa"/>
            <w:gridSpan w:val="2"/>
            <w:vAlign w:val="center"/>
          </w:tcPr>
          <w:p>
            <w:pPr>
              <w:autoSpaceDN w:val="0"/>
              <w:jc w:val="center"/>
              <w:textAlignment w:val="center"/>
              <w:rPr>
                <w:rFonts w:ascii="仿宋" w:hAnsi="仿宋" w:eastAsia="仿宋" w:cs="仿宋_GB2312"/>
                <w:color w:val="000000"/>
                <w:sz w:val="24"/>
              </w:rPr>
            </w:pPr>
          </w:p>
        </w:tc>
        <w:tc>
          <w:tcPr>
            <w:tcW w:w="2184" w:type="dxa"/>
            <w:gridSpan w:val="3"/>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sz w:val="24"/>
              </w:rPr>
              <w:t>3、二级机构2</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1044" w:type="dxa"/>
            <w:tcBorders>
              <w:left w:val="single" w:color="auto" w:sz="4" w:space="0"/>
            </w:tcBorders>
            <w:vAlign w:val="center"/>
          </w:tcPr>
          <w:p>
            <w:pPr>
              <w:autoSpaceDN w:val="0"/>
              <w:jc w:val="center"/>
              <w:textAlignment w:val="center"/>
              <w:rPr>
                <w:rFonts w:ascii="仿宋" w:hAnsi="仿宋" w:eastAsia="仿宋" w:cs="仿宋_GB2312"/>
                <w:color w:val="000000"/>
                <w:sz w:val="24"/>
              </w:rPr>
            </w:pPr>
          </w:p>
        </w:tc>
        <w:tc>
          <w:tcPr>
            <w:tcW w:w="940" w:type="dxa"/>
            <w:gridSpan w:val="3"/>
            <w:vAlign w:val="center"/>
          </w:tcPr>
          <w:p>
            <w:pPr>
              <w:autoSpaceDN w:val="0"/>
              <w:jc w:val="center"/>
              <w:textAlignment w:val="center"/>
              <w:rPr>
                <w:rFonts w:ascii="仿宋" w:hAnsi="仿宋" w:eastAsia="仿宋" w:cs="仿宋_GB2312"/>
                <w:color w:val="000000"/>
                <w:sz w:val="24"/>
              </w:rPr>
            </w:pPr>
          </w:p>
        </w:tc>
        <w:tc>
          <w:tcPr>
            <w:tcW w:w="2071" w:type="dxa"/>
            <w:gridSpan w:val="2"/>
            <w:vAlign w:val="center"/>
          </w:tcPr>
          <w:p>
            <w:pPr>
              <w:autoSpaceDN w:val="0"/>
              <w:jc w:val="center"/>
              <w:textAlignment w:val="center"/>
              <w:rPr>
                <w:rFonts w:ascii="仿宋" w:hAnsi="仿宋" w:eastAsia="仿宋" w:cs="仿宋_GB2312"/>
                <w:color w:val="000000"/>
                <w:sz w:val="24"/>
              </w:rPr>
            </w:pPr>
          </w:p>
        </w:tc>
        <w:tc>
          <w:tcPr>
            <w:tcW w:w="2184" w:type="dxa"/>
            <w:gridSpan w:val="3"/>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Merge w:val="restart"/>
            <w:vAlign w:val="center"/>
          </w:tcPr>
          <w:p>
            <w:pPr>
              <w:jc w:val="center"/>
              <w:rPr>
                <w:rFonts w:ascii="仿宋" w:hAnsi="仿宋" w:eastAsia="仿宋" w:cs="仿宋_GB2312"/>
                <w:sz w:val="24"/>
              </w:rPr>
            </w:pPr>
            <w:r>
              <w:rPr>
                <w:rFonts w:hint="eastAsia" w:ascii="仿宋" w:hAnsi="仿宋" w:eastAsia="仿宋" w:cs="仿宋_GB2312"/>
                <w:sz w:val="24"/>
              </w:rPr>
              <w:t>机构名称</w:t>
            </w:r>
          </w:p>
        </w:tc>
        <w:tc>
          <w:tcPr>
            <w:tcW w:w="1777" w:type="dxa"/>
            <w:vMerge w:val="restart"/>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固定资产</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合计</w:t>
            </w:r>
          </w:p>
        </w:tc>
        <w:tc>
          <w:tcPr>
            <w:tcW w:w="0" w:type="auto"/>
            <w:gridSpan w:val="8"/>
            <w:tcBorders>
              <w:left w:val="single" w:color="auto" w:sz="4" w:space="0"/>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其中：</w:t>
            </w:r>
          </w:p>
        </w:tc>
        <w:tc>
          <w:tcPr>
            <w:tcW w:w="750" w:type="dxa"/>
            <w:vMerge w:val="restart"/>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Merge w:val="continue"/>
            <w:vAlign w:val="center"/>
          </w:tcPr>
          <w:p>
            <w:pPr>
              <w:jc w:val="center"/>
              <w:rPr>
                <w:rFonts w:ascii="仿宋" w:hAnsi="仿宋" w:eastAsia="仿宋" w:cs="仿宋_GB2312"/>
                <w:sz w:val="24"/>
              </w:rPr>
            </w:pPr>
          </w:p>
        </w:tc>
        <w:tc>
          <w:tcPr>
            <w:tcW w:w="1777" w:type="dxa"/>
            <w:vMerge w:val="continue"/>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0" w:type="auto"/>
            <w:gridSpan w:val="4"/>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在用固定资产</w:t>
            </w:r>
          </w:p>
        </w:tc>
        <w:tc>
          <w:tcPr>
            <w:tcW w:w="0" w:type="auto"/>
            <w:gridSpan w:val="4"/>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出租固定资产</w:t>
            </w:r>
          </w:p>
        </w:tc>
        <w:tc>
          <w:tcPr>
            <w:tcW w:w="750" w:type="dxa"/>
            <w:vMerge w:val="continue"/>
            <w:tcBorders>
              <w:left w:val="single" w:color="auto" w:sz="4" w:space="0"/>
            </w:tcBorders>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855"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color w:val="000000"/>
                <w:sz w:val="24"/>
              </w:rPr>
              <w:t>局机关及二级机构汇总</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370.67</w:t>
            </w:r>
          </w:p>
        </w:tc>
        <w:tc>
          <w:tcPr>
            <w:tcW w:w="0" w:type="auto"/>
            <w:gridSpan w:val="4"/>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370.67</w:t>
            </w:r>
          </w:p>
        </w:tc>
        <w:tc>
          <w:tcPr>
            <w:tcW w:w="0" w:type="auto"/>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c>
          <w:tcPr>
            <w:tcW w:w="750"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sz w:val="24"/>
              </w:rPr>
              <w:t>1、局机关</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370.67</w:t>
            </w:r>
          </w:p>
        </w:tc>
        <w:tc>
          <w:tcPr>
            <w:tcW w:w="0" w:type="auto"/>
            <w:gridSpan w:val="4"/>
            <w:tcBorders>
              <w:left w:val="single" w:color="auto" w:sz="4" w:space="0"/>
            </w:tcBorders>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370.67</w:t>
            </w:r>
          </w:p>
        </w:tc>
        <w:tc>
          <w:tcPr>
            <w:tcW w:w="0" w:type="auto"/>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c>
          <w:tcPr>
            <w:tcW w:w="750"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sz w:val="24"/>
              </w:rPr>
              <w:t>2、二级机构1</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0" w:type="auto"/>
            <w:gridSpan w:val="4"/>
            <w:tcBorders>
              <w:left w:val="single" w:color="auto" w:sz="4" w:space="0"/>
            </w:tcBorders>
            <w:vAlign w:val="center"/>
          </w:tcPr>
          <w:p>
            <w:pPr>
              <w:autoSpaceDN w:val="0"/>
              <w:jc w:val="center"/>
              <w:textAlignment w:val="center"/>
              <w:rPr>
                <w:rFonts w:ascii="仿宋" w:hAnsi="仿宋" w:eastAsia="仿宋" w:cs="仿宋_GB2312"/>
                <w:color w:val="000000"/>
                <w:sz w:val="24"/>
              </w:rPr>
            </w:pPr>
          </w:p>
        </w:tc>
        <w:tc>
          <w:tcPr>
            <w:tcW w:w="0" w:type="auto"/>
            <w:gridSpan w:val="4"/>
            <w:vAlign w:val="center"/>
          </w:tcPr>
          <w:p>
            <w:pPr>
              <w:autoSpaceDN w:val="0"/>
              <w:jc w:val="center"/>
              <w:textAlignment w:val="center"/>
              <w:rPr>
                <w:rFonts w:ascii="仿宋" w:hAnsi="仿宋" w:eastAsia="仿宋" w:cs="仿宋_GB2312"/>
                <w:color w:val="000000"/>
                <w:sz w:val="24"/>
              </w:rPr>
            </w:pPr>
          </w:p>
        </w:tc>
        <w:tc>
          <w:tcPr>
            <w:tcW w:w="750" w:type="dxa"/>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gridAfter w:val="1"/>
          <w:wAfter w:w="20" w:type="dxa"/>
          <w:trHeight w:val="624" w:hRule="atLeast"/>
          <w:jc w:val="center"/>
        </w:trPr>
        <w:tc>
          <w:tcPr>
            <w:tcW w:w="865" w:type="dxa"/>
            <w:vAlign w:val="center"/>
          </w:tcPr>
          <w:p>
            <w:pPr>
              <w:jc w:val="left"/>
              <w:rPr>
                <w:rFonts w:ascii="仿宋" w:hAnsi="仿宋" w:eastAsia="仿宋" w:cs="仿宋_GB2312"/>
                <w:sz w:val="24"/>
              </w:rPr>
            </w:pPr>
            <w:r>
              <w:rPr>
                <w:rFonts w:hint="eastAsia" w:ascii="仿宋" w:hAnsi="仿宋" w:eastAsia="仿宋" w:cs="仿宋_GB2312"/>
                <w:sz w:val="24"/>
              </w:rPr>
              <w:t>3、二级机构2</w:t>
            </w:r>
          </w:p>
        </w:tc>
        <w:tc>
          <w:tcPr>
            <w:tcW w:w="1777" w:type="dxa"/>
            <w:tcBorders>
              <w:right w:val="single" w:color="auto" w:sz="4" w:space="0"/>
            </w:tcBorders>
            <w:vAlign w:val="center"/>
          </w:tcPr>
          <w:p>
            <w:pPr>
              <w:autoSpaceDN w:val="0"/>
              <w:jc w:val="center"/>
              <w:textAlignment w:val="center"/>
              <w:rPr>
                <w:rFonts w:ascii="仿宋" w:hAnsi="仿宋" w:eastAsia="仿宋" w:cs="仿宋_GB2312"/>
                <w:color w:val="000000"/>
                <w:sz w:val="24"/>
              </w:rPr>
            </w:pPr>
          </w:p>
        </w:tc>
        <w:tc>
          <w:tcPr>
            <w:tcW w:w="0" w:type="auto"/>
            <w:gridSpan w:val="4"/>
            <w:tcBorders>
              <w:left w:val="single" w:color="auto" w:sz="4" w:space="0"/>
            </w:tcBorders>
            <w:vAlign w:val="center"/>
          </w:tcPr>
          <w:p>
            <w:pPr>
              <w:autoSpaceDN w:val="0"/>
              <w:jc w:val="center"/>
              <w:textAlignment w:val="center"/>
              <w:rPr>
                <w:rFonts w:ascii="仿宋" w:hAnsi="仿宋" w:eastAsia="仿宋" w:cs="仿宋_GB2312"/>
                <w:color w:val="000000"/>
                <w:sz w:val="24"/>
              </w:rPr>
            </w:pPr>
          </w:p>
        </w:tc>
        <w:tc>
          <w:tcPr>
            <w:tcW w:w="0" w:type="auto"/>
            <w:gridSpan w:val="4"/>
            <w:vAlign w:val="center"/>
          </w:tcPr>
          <w:p>
            <w:pPr>
              <w:autoSpaceDN w:val="0"/>
              <w:jc w:val="center"/>
              <w:textAlignment w:val="center"/>
              <w:rPr>
                <w:rFonts w:ascii="仿宋" w:hAnsi="仿宋" w:eastAsia="仿宋" w:cs="仿宋_GB2312"/>
                <w:color w:val="000000"/>
                <w:sz w:val="24"/>
              </w:rPr>
            </w:pPr>
          </w:p>
        </w:tc>
        <w:tc>
          <w:tcPr>
            <w:tcW w:w="750" w:type="dxa"/>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901" w:type="dxa"/>
            <w:gridSpan w:val="1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黑体"/>
                <w:color w:val="000000"/>
                <w:sz w:val="24"/>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65" w:type="dxa"/>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整体支出绩效定性目标及实施计划完成情况</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预期目标</w:t>
            </w:r>
          </w:p>
        </w:tc>
        <w:tc>
          <w:tcPr>
            <w:tcW w:w="4933" w:type="dxa"/>
            <w:gridSpan w:val="7"/>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72" w:hRule="atLeast"/>
          <w:jc w:val="center"/>
        </w:trPr>
        <w:tc>
          <w:tcPr>
            <w:tcW w:w="865" w:type="dxa"/>
            <w:vMerge w:val="continue"/>
            <w:vAlign w:val="center"/>
          </w:tcPr>
          <w:p>
            <w:pPr>
              <w:rPr>
                <w:rFonts w:ascii="仿宋" w:hAnsi="仿宋" w:eastAsia="仿宋" w:cs="仿宋_GB2312"/>
                <w:sz w:val="24"/>
              </w:rPr>
            </w:pPr>
          </w:p>
        </w:tc>
        <w:tc>
          <w:tcPr>
            <w:tcW w:w="3103" w:type="dxa"/>
            <w:gridSpan w:val="4"/>
            <w:vAlign w:val="center"/>
          </w:tcPr>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目标1：：摸清家底，做好国土资源清查工作。</w:t>
            </w:r>
          </w:p>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目标2：严格三线管控，编好村庄规划。</w:t>
            </w:r>
          </w:p>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目标3：加强耕地保护和土地整治开发。</w:t>
            </w:r>
          </w:p>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目标4：开展农村乱占耕地建房摸排工作。</w:t>
            </w:r>
          </w:p>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目标5：强力推进“月清三地”工作，加大执法工作力度。</w:t>
            </w:r>
          </w:p>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目标6：稳妥推进房地一体登记颁证工作。</w:t>
            </w:r>
          </w:p>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目标7：积极开展“最多跑一次”改革。</w:t>
            </w:r>
          </w:p>
          <w:p>
            <w:pPr>
              <w:autoSpaceDN w:val="0"/>
              <w:textAlignment w:val="center"/>
              <w:rPr>
                <w:rFonts w:ascii="仿宋" w:hAnsi="仿宋" w:eastAsia="仿宋" w:cs="仿宋_GB2312"/>
                <w:color w:val="000000"/>
                <w:sz w:val="24"/>
              </w:rPr>
            </w:pPr>
            <w:r>
              <w:rPr>
                <w:rFonts w:hint="eastAsia" w:ascii="仿宋" w:hAnsi="仿宋" w:eastAsia="仿宋" w:cs="仿宋_GB2312"/>
                <w:color w:val="000000"/>
                <w:sz w:val="24"/>
              </w:rPr>
              <w:t>目标8：深化开展干部队伍建设。</w:t>
            </w:r>
          </w:p>
        </w:tc>
        <w:tc>
          <w:tcPr>
            <w:tcW w:w="4933" w:type="dxa"/>
            <w:gridSpan w:val="7"/>
            <w:vAlign w:val="center"/>
          </w:tcPr>
          <w:p>
            <w:pPr>
              <w:ind w:firstLine="480" w:firstLineChars="200"/>
              <w:rPr>
                <w:rFonts w:ascii="仿宋" w:hAnsi="仿宋" w:eastAsia="仿宋" w:cs="仿宋_GB2312"/>
                <w:sz w:val="24"/>
                <w:lang w:val="zh-CN"/>
              </w:rPr>
            </w:pPr>
            <w:r>
              <w:rPr>
                <w:rFonts w:hint="eastAsia" w:ascii="仿宋" w:hAnsi="仿宋" w:eastAsia="仿宋" w:cs="仿宋_GB2312"/>
                <w:color w:val="000000"/>
                <w:sz w:val="24"/>
              </w:rPr>
              <w:t>1、</w:t>
            </w:r>
            <w:r>
              <w:rPr>
                <w:rFonts w:hint="eastAsia" w:ascii="仿宋" w:hAnsi="仿宋" w:eastAsia="仿宋" w:cs="仿宋_GB2312"/>
                <w:sz w:val="24"/>
                <w:lang w:val="zh-CN"/>
              </w:rPr>
              <w:t>在</w:t>
            </w:r>
            <w:r>
              <w:rPr>
                <w:rFonts w:hint="eastAsia" w:ascii="仿宋" w:hAnsi="仿宋" w:eastAsia="仿宋" w:cs="仿宋_GB2312"/>
                <w:sz w:val="24"/>
              </w:rPr>
              <w:t>第三次国土调查工作中，我区精心组织，严格标准，严控质量，“三调”</w:t>
            </w:r>
            <w:r>
              <w:rPr>
                <w:rFonts w:hint="eastAsia" w:ascii="仿宋" w:hAnsi="仿宋" w:eastAsia="仿宋" w:cs="仿宋_GB2312"/>
                <w:sz w:val="24"/>
                <w:lang w:val="zh-CN"/>
              </w:rPr>
              <w:t>成果被列为我省第一批次核查成果上报国家，受到市三调办通报表扬。调查结果表明，我区调查总面积37786.52公顷，其中建设用地5669.79公顷、农用地27449.33公顷、未利用地4667.4公顷。</w:t>
            </w:r>
          </w:p>
          <w:p>
            <w:pPr>
              <w:ind w:firstLine="480" w:firstLineChars="200"/>
              <w:rPr>
                <w:rFonts w:ascii="仿宋" w:hAnsi="仿宋" w:eastAsia="仿宋" w:cs="仿宋_GB2312"/>
                <w:sz w:val="24"/>
                <w:lang w:val="zh-CN"/>
              </w:rPr>
            </w:pPr>
            <w:r>
              <w:rPr>
                <w:rFonts w:hint="eastAsia" w:ascii="仿宋" w:hAnsi="仿宋" w:eastAsia="仿宋" w:cs="仿宋_GB2312"/>
                <w:sz w:val="24"/>
                <w:lang w:val="zh-CN"/>
              </w:rPr>
              <w:t>2、</w:t>
            </w:r>
            <w:r>
              <w:rPr>
                <w:rFonts w:hint="eastAsia" w:ascii="仿宋" w:hAnsi="仿宋" w:eastAsia="仿宋" w:cs="仿宋_GB2312"/>
                <w:sz w:val="24"/>
              </w:rPr>
              <w:t>积极配合市局开展</w:t>
            </w:r>
            <w:r>
              <w:rPr>
                <w:rFonts w:hint="eastAsia" w:ascii="仿宋" w:hAnsi="仿宋" w:eastAsia="仿宋" w:cs="仿宋_GB2312"/>
                <w:sz w:val="24"/>
                <w:lang w:val="zh-CN"/>
              </w:rPr>
              <w:t>国土空间规划编制</w:t>
            </w:r>
            <w:r>
              <w:rPr>
                <w:rFonts w:hint="eastAsia" w:ascii="仿宋" w:hAnsi="仿宋" w:eastAsia="仿宋" w:cs="仿宋_GB2312"/>
                <w:sz w:val="24"/>
              </w:rPr>
              <w:t>，</w:t>
            </w:r>
            <w:r>
              <w:rPr>
                <w:rFonts w:hint="eastAsia" w:ascii="仿宋" w:hAnsi="仿宋" w:eastAsia="仿宋" w:cs="仿宋_GB2312"/>
                <w:sz w:val="24"/>
                <w:lang w:val="zh-CN"/>
              </w:rPr>
              <w:t>已完成国土空间开发保护现状评估报告、生态保护红线评估调整报告、城镇开发边界模拟划定报告、“双评估”和“双评价”报告</w:t>
            </w:r>
            <w:r>
              <w:rPr>
                <w:rFonts w:hint="eastAsia" w:ascii="仿宋" w:hAnsi="仿宋" w:eastAsia="仿宋" w:cs="仿宋_GB2312"/>
                <w:sz w:val="24"/>
              </w:rPr>
              <w:t>。在生态保护红线、永久基本农田、城镇开发边界三线划定工作中，</w:t>
            </w:r>
            <w:r>
              <w:rPr>
                <w:rFonts w:hint="eastAsia" w:ascii="仿宋" w:hAnsi="仿宋" w:eastAsia="仿宋" w:cs="仿宋_GB2312"/>
                <w:sz w:val="24"/>
                <w:lang w:val="zh-CN"/>
              </w:rPr>
              <w:t>就生态保护红线进行多次专题座谈与研究，将云溪区生态红线范围由150</w:t>
            </w:r>
            <w:r>
              <w:rPr>
                <w:rFonts w:hint="eastAsia" w:ascii="仿宋" w:hAnsi="仿宋" w:eastAsia="仿宋" w:cs="仿宋_GB2312"/>
                <w:sz w:val="24"/>
              </w:rPr>
              <w:t>5</w:t>
            </w:r>
            <w:r>
              <w:rPr>
                <w:rFonts w:hint="eastAsia" w:ascii="仿宋" w:hAnsi="仿宋" w:eastAsia="仿宋" w:cs="仿宋_GB2312"/>
                <w:sz w:val="24"/>
                <w:lang w:val="zh-CN"/>
              </w:rPr>
              <w:t>公顷调整为</w:t>
            </w:r>
            <w:r>
              <w:rPr>
                <w:rFonts w:hint="eastAsia" w:ascii="仿宋" w:hAnsi="仿宋" w:eastAsia="仿宋" w:cs="仿宋_GB2312"/>
                <w:sz w:val="24"/>
              </w:rPr>
              <w:t>3134</w:t>
            </w:r>
            <w:r>
              <w:rPr>
                <w:rFonts w:hint="eastAsia" w:ascii="仿宋" w:hAnsi="仿宋" w:eastAsia="仿宋" w:cs="仿宋_GB2312"/>
                <w:sz w:val="24"/>
                <w:lang w:val="zh-CN"/>
              </w:rPr>
              <w:t>公顷，为我区发展留出足够的空间。</w:t>
            </w:r>
            <w:r>
              <w:rPr>
                <w:rFonts w:hint="eastAsia" w:ascii="仿宋" w:hAnsi="仿宋" w:eastAsia="仿宋"/>
                <w:sz w:val="24"/>
              </w:rPr>
              <w:t>完成了《云溪区村庄分类与布局规划》编制，启动了6个乡村规划试点，试点包括双花清溪、友好、团结、泾港和枧冲。</w:t>
            </w:r>
          </w:p>
          <w:p>
            <w:pPr>
              <w:ind w:firstLine="480" w:firstLineChars="200"/>
              <w:rPr>
                <w:rFonts w:ascii="仿宋" w:hAnsi="仿宋" w:eastAsia="仿宋"/>
                <w:sz w:val="24"/>
              </w:rPr>
            </w:pPr>
            <w:r>
              <w:rPr>
                <w:rFonts w:hint="eastAsia" w:ascii="仿宋" w:hAnsi="仿宋" w:eastAsia="仿宋" w:cs="楷体_GB2312"/>
                <w:bCs/>
                <w:sz w:val="24"/>
              </w:rPr>
              <w:t>3、加强耕地保护和土地整治开发。</w:t>
            </w:r>
            <w:r>
              <w:rPr>
                <w:rFonts w:hint="eastAsia" w:ascii="仿宋" w:hAnsi="仿宋" w:eastAsia="仿宋" w:cs="仿宋_GB2312"/>
                <w:color w:val="000000"/>
                <w:sz w:val="24"/>
              </w:rPr>
              <w:t>报请区政府出台了《云溪区土地整治项目后期耕种管护办法》，</w:t>
            </w:r>
            <w:r>
              <w:rPr>
                <w:rFonts w:hint="eastAsia" w:ascii="仿宋" w:hAnsi="仿宋" w:eastAsia="仿宋" w:cs="仿宋_GB2312"/>
                <w:sz w:val="24"/>
                <w:lang w:val="zh-CN"/>
              </w:rPr>
              <w:t>完成了</w:t>
            </w:r>
            <w:r>
              <w:rPr>
                <w:rFonts w:hint="eastAsia" w:ascii="仿宋" w:hAnsi="仿宋" w:eastAsia="仿宋" w:cs="仿宋_GB2312"/>
                <w:sz w:val="24"/>
              </w:rPr>
              <w:t>538公顷</w:t>
            </w:r>
            <w:r>
              <w:rPr>
                <w:rFonts w:hint="eastAsia" w:ascii="仿宋" w:hAnsi="仿宋" w:eastAsia="仿宋" w:cs="仿宋_GB2312"/>
                <w:sz w:val="24"/>
                <w:lang w:val="zh-CN"/>
              </w:rPr>
              <w:t>永久基本农田储备区的划定。</w:t>
            </w:r>
            <w:r>
              <w:rPr>
                <w:rFonts w:hint="eastAsia" w:ascii="仿宋" w:hAnsi="仿宋" w:eastAsia="仿宋"/>
                <w:sz w:val="24"/>
              </w:rPr>
              <w:t>完成了路口镇南岳村毛谷垄、牌楼村甘家湾等7个土地整治项目，</w:t>
            </w:r>
            <w:r>
              <w:rPr>
                <w:rFonts w:hint="eastAsia" w:ascii="仿宋" w:hAnsi="仿宋" w:eastAsia="仿宋" w:cs="仿宋_GB2312"/>
                <w:sz w:val="24"/>
              </w:rPr>
              <w:t>总建设规模1105亩，总投资1600万元，可新增水田981亩</w:t>
            </w:r>
            <w:r>
              <w:rPr>
                <w:rFonts w:hint="eastAsia" w:ascii="仿宋" w:hAnsi="仿宋" w:eastAsia="仿宋"/>
                <w:sz w:val="24"/>
              </w:rPr>
              <w:t>。</w:t>
            </w:r>
          </w:p>
          <w:p>
            <w:pPr>
              <w:ind w:firstLine="480" w:firstLineChars="200"/>
              <w:rPr>
                <w:rFonts w:ascii="仿宋" w:hAnsi="仿宋" w:eastAsia="仿宋" w:cs="仿宋_GB2312"/>
                <w:sz w:val="24"/>
              </w:rPr>
            </w:pPr>
            <w:r>
              <w:rPr>
                <w:rFonts w:hint="eastAsia" w:ascii="仿宋" w:hAnsi="仿宋" w:eastAsia="仿宋" w:cs="楷体_GB2312"/>
                <w:bCs/>
                <w:sz w:val="24"/>
              </w:rPr>
              <w:t>4、深入开展农村乱占耕地建房摸排。</w:t>
            </w:r>
            <w:r>
              <w:rPr>
                <w:rFonts w:hint="eastAsia" w:ascii="仿宋" w:hAnsi="仿宋" w:eastAsia="仿宋"/>
                <w:sz w:val="24"/>
              </w:rPr>
              <w:t>农村乱占耕地建房问题整治工作是习近平总书记多次批示的一项政治任务。</w:t>
            </w:r>
            <w:r>
              <w:rPr>
                <w:rFonts w:hint="eastAsia" w:ascii="仿宋" w:hAnsi="仿宋" w:eastAsia="仿宋" w:cs="仿宋_GB2312"/>
                <w:sz w:val="24"/>
              </w:rPr>
              <w:t>自然资源部、</w:t>
            </w:r>
            <w:r>
              <w:rPr>
                <w:rFonts w:hint="eastAsia" w:ascii="仿宋" w:hAnsi="仿宋" w:eastAsia="仿宋"/>
                <w:sz w:val="24"/>
              </w:rPr>
              <w:t>省自然资源厅</w:t>
            </w:r>
            <w:r>
              <w:rPr>
                <w:rFonts w:hint="eastAsia" w:ascii="仿宋" w:hAnsi="仿宋" w:eastAsia="仿宋" w:cs="仿宋_GB2312"/>
                <w:sz w:val="24"/>
              </w:rPr>
              <w:t>共下发图斑26270个。通过镇村和技术单位工作人员加班加点核查，11月上旬我区已完成全部图斑摸排调查任务。摸排结果显示，拟纳入摸排整治范围252个，不纳入摸排范围26018个。接下来，我们将继续做好摸排图斑的成果复核，确保信息完整性，同时广泛收集意见，分类进行处置。</w:t>
            </w:r>
          </w:p>
          <w:p>
            <w:pPr>
              <w:ind w:firstLine="480" w:firstLineChars="200"/>
              <w:rPr>
                <w:rFonts w:ascii="仿宋" w:hAnsi="仿宋" w:eastAsia="仿宋" w:cs="仿宋_GB2312"/>
                <w:sz w:val="24"/>
              </w:rPr>
            </w:pPr>
            <w:r>
              <w:rPr>
                <w:rFonts w:hint="eastAsia" w:ascii="仿宋" w:hAnsi="仿宋" w:eastAsia="仿宋"/>
                <w:sz w:val="24"/>
              </w:rPr>
              <w:t>5、强力推进月清“三地”工作，我区加大执法监察、土地出让、土地依法征收、批而未供和闲置土地处置等工作力度，取得明显成效。累计召开六次土地储备与出让委员会议，挂牌出让了己内酰胺产业链搬迁、道仁矶物流园加油站、云虹东方住宅小区等项目土地11宗，出让面积3106亩，出让价款9.2亿元。</w:t>
            </w:r>
            <w:r>
              <w:rPr>
                <w:rFonts w:hint="eastAsia" w:ascii="仿宋" w:hAnsi="仿宋" w:eastAsia="仿宋" w:cs="仿宋_GB2312"/>
                <w:sz w:val="24"/>
              </w:rPr>
              <w:t>我区批而未供土地27宗，面积807.57亩，已供16宗，面积323亩。12宗疑似闲置土地：5宗私宅经省厅核查无闲置已销号；岳阳绿色化工产业园道路及绿化用地2宗已竣工销号；欣港东路仓储物流项目、云溪区城南中学等4宗经区政府同意已收回；岳化二小改扩建项目正在开工建设，无闲置状态。省厅下发的闲置土地处置任务已全部完成。</w:t>
            </w:r>
            <w:r>
              <w:rPr>
                <w:rFonts w:hint="eastAsia" w:ascii="仿宋" w:hAnsi="仿宋" w:eastAsia="仿宋" w:cs="楷体_GB2312"/>
                <w:sz w:val="24"/>
              </w:rPr>
              <w:t>今年</w:t>
            </w:r>
            <w:r>
              <w:rPr>
                <w:rFonts w:hint="eastAsia" w:ascii="仿宋" w:hAnsi="仿宋" w:eastAsia="仿宋" w:cs="仿宋_GB2312"/>
                <w:sz w:val="24"/>
              </w:rPr>
              <w:t>累计接到省厅下达的违法用地处置任务14宗，总面积111.04亩（其中耕地30.34亩、永久基本农田4.1亩）。对于每月下发的违法用地处置图斑任务，我们做到立查立改，满足省厅月清到位的要求。我们负责的13个违法图斑已全部处理到位（新港区1宗未处理到位）。</w:t>
            </w:r>
            <w:r>
              <w:rPr>
                <w:rFonts w:hint="eastAsia" w:ascii="仿宋" w:hAnsi="仿宋" w:eastAsia="仿宋" w:cs="楷体_GB2312"/>
                <w:bCs/>
                <w:sz w:val="24"/>
              </w:rPr>
              <w:t>土地依法征收方面。</w:t>
            </w:r>
            <w:r>
              <w:rPr>
                <w:rFonts w:hint="eastAsia" w:ascii="仿宋" w:hAnsi="仿宋" w:eastAsia="仿宋" w:cs="仿宋_GB2312"/>
                <w:sz w:val="24"/>
              </w:rPr>
              <w:t>包括己内酰胺在内的5个项目全部清零，征收土地3554亩，拆迁房屋169户、面积65829平方米，位列全市前茅。</w:t>
            </w:r>
          </w:p>
          <w:p>
            <w:pPr>
              <w:ind w:firstLine="480" w:firstLineChars="200"/>
              <w:rPr>
                <w:rFonts w:ascii="仿宋" w:hAnsi="仿宋" w:eastAsia="仿宋"/>
                <w:sz w:val="24"/>
              </w:rPr>
            </w:pPr>
            <w:r>
              <w:rPr>
                <w:rFonts w:hint="eastAsia" w:ascii="仿宋" w:hAnsi="仿宋" w:eastAsia="仿宋" w:cs="楷体_GB2312"/>
                <w:bCs/>
                <w:sz w:val="24"/>
              </w:rPr>
              <w:t>6、稳妥推进房地一体登记颁证。</w:t>
            </w:r>
            <w:r>
              <w:rPr>
                <w:rFonts w:hint="eastAsia" w:ascii="仿宋" w:hAnsi="仿宋" w:eastAsia="仿宋"/>
                <w:sz w:val="24"/>
              </w:rPr>
              <w:t>农村宅基地和集体建设用地房地一体确权登记颁证工作是中央全面深化农村改革的一项重要任务，涉及广大农民群众切身利益。领导高度重视，在各成员单位，特别是镇（街）和村组的努力下，我们克服时间紧、任务重、政策和技术难点多等困难，完成了全部外业调查任务，全区45个行政村（居）已全部通过验收。云溪区调查宗地数共21100宗，内业已完成18019宗，完成率85.4％；省厅确定登记发证任务9148宗已全部完成，完成率100%。</w:t>
            </w:r>
          </w:p>
          <w:p>
            <w:pPr>
              <w:ind w:firstLine="480" w:firstLineChars="200"/>
              <w:rPr>
                <w:rFonts w:ascii="仿宋" w:hAnsi="仿宋" w:eastAsia="仿宋" w:cs="仿宋_GB2312"/>
                <w:sz w:val="24"/>
              </w:rPr>
            </w:pPr>
            <w:r>
              <w:rPr>
                <w:rFonts w:hint="eastAsia" w:ascii="仿宋" w:hAnsi="仿宋" w:eastAsia="仿宋" w:cs="楷体_GB2312"/>
                <w:bCs/>
                <w:sz w:val="24"/>
              </w:rPr>
              <w:t>7、积极开展“最多跑一次”改革。</w:t>
            </w:r>
            <w:r>
              <w:rPr>
                <w:rFonts w:hint="eastAsia" w:ascii="仿宋" w:hAnsi="仿宋" w:eastAsia="仿宋"/>
                <w:sz w:val="24"/>
              </w:rPr>
              <w:t>全力推进不动产登记160改革和工程项目审批领域170改革。160改革方面：我局不动产登记中心在8月份完成“岳阳市不动产登记综合平台”建设上线，具有线上线下一体、多部门联办、虚实结合的功能，能为群众提供更加便捷的登记和交易服务。本着“一件事一次办”的服务理念，我局积极推进“交房即交证”工作，12月11日在大汉云龙新城实现首证颁发。</w:t>
            </w:r>
            <w:r>
              <w:rPr>
                <w:rFonts w:hint="eastAsia" w:ascii="仿宋" w:hAnsi="仿宋" w:eastAsia="仿宋" w:cs="仿宋_GB2312"/>
                <w:sz w:val="24"/>
              </w:rPr>
              <w:t>170改革方面：我局抽调技术骨干驻窗办公，建立无纸化审批系统。工程建设领域“三证一书”发放等工作都已移交至行政审批窗口，实现了行政审批职能应进尽进，联审联办。2020年共核发《建设工程规划许可证》41个，包括兴长石化20万吨/年烷基化装置及配套项目，中石化催化剂500吨/年球型氧化铝装置等项目，发证面积29.8万平方米，收取城市建设配套费144.5万元。</w:t>
            </w:r>
          </w:p>
          <w:p>
            <w:pPr>
              <w:ind w:firstLine="480" w:firstLineChars="200"/>
              <w:rPr>
                <w:rFonts w:ascii="仿宋" w:hAnsi="仿宋" w:eastAsia="仿宋" w:cs="仿宋_GB2312"/>
                <w:color w:val="000000"/>
                <w:sz w:val="24"/>
              </w:rPr>
            </w:pPr>
            <w:r>
              <w:rPr>
                <w:rFonts w:hint="eastAsia" w:ascii="仿宋" w:hAnsi="仿宋" w:eastAsia="仿宋" w:cs="黑体"/>
                <w:bCs/>
                <w:sz w:val="24"/>
              </w:rPr>
              <w:t>8、深入开展干部队伍建设</w:t>
            </w:r>
            <w:r>
              <w:rPr>
                <w:rFonts w:hint="eastAsia" w:ascii="仿宋" w:hAnsi="仿宋" w:eastAsia="仿宋" w:cs="楷体_GB2312"/>
                <w:bCs/>
                <w:sz w:val="24"/>
              </w:rPr>
              <w:t>。</w:t>
            </w:r>
            <w:r>
              <w:rPr>
                <w:rFonts w:hint="eastAsia" w:ascii="仿宋" w:hAnsi="仿宋" w:eastAsia="仿宋" w:cs="仿宋_GB2312"/>
                <w:sz w:val="24"/>
              </w:rPr>
              <w:t>旗帜鲜明地站在意识形态工作第一线，制定《关于履行领导班子意识形态责任制的实施方案》，在耕地保护、土地管理、精准扶贫、扫黑除恶等重要工作上，班子成员抓好分管股室和自然资源所的意识形态工作，切实守好自己的门、站好自己的岗。要求干部职工在政治立场、政治方向、政治道路上始终与党中央保持一致，增强“四个意识”，坚定“四个自信”，做到“两个维护”。坚持开展廉政教育，落实廉政建设责任制，及时把握市、区相关廉政建设新要求，在局长办公会和干部职工大会上向班子成员、全体干部职工及时传达。组织干部职工就违规收受评审费、违法建设、违规审批、违规持股等方面的进行调查摸底。注重制度建设，坚持以完善的制度管人、管事、管钱、管物，努力构建反腐倡廉风险防线，加强了对违纪违法行为的防范和监督，加大从源头防治腐败的力度。实施分管领导与重点领域的工作人员谈心谈话制度，及时发现不良苗头，有针对性地帮助干部职工认识和改正错误，杜绝违纪违规问题的发生。继续深入推进“不忘初心、牢记使命”学习教育常态化。严格落实“三会一课”等组织学习规定动作，结合党员大会累计开展支部集中学习10余次，支部书记、班子成员、党支部书记等上专题党课5次。在局长办公会、中层干部会议和全体干部职工会议上，深入学习习近平总书记在湖南考察的讲话精神、关于安全生产的重要指示、关于粮食安全和耕地保护监督方面的重要论述及“六稳”“六保”任务要求。发挥党支部组织关怀作用，发动党员干部爱心支持。组织七一慰问、抗击疫情组织党员捐款、社会扶贫捐赠、向困难职工捐款、“慈善一日捐”等活动。以党建促脱贫攻坚，落实结对帮扶任务，巩固提升脱贫成效，带领分局班子开展扶贫走访慰问，全年累计走访慰问120次，落实帮扶资金15万元，助力消费扶贫3.8万元，直接慰问物资和现金4万元。开展“传承红色精神、传承革命精神”主题党日活动，组织党员干部参观十八洞、芷江红色教育基地，弘扬爱国主义；以志愿者队伍服务活动为载体，积极组织义务植树活动、无偿献血活动，组织“地球日”、“土地日”、“测绘日”志愿者科普宣传活动，充分发挥党员先锋模范带头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65" w:type="dxa"/>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整体支出</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绩效定量目标及实施计划完成情况</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评价内容</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绩效目标</w:t>
            </w:r>
          </w:p>
        </w:tc>
        <w:tc>
          <w:tcPr>
            <w:tcW w:w="4006" w:type="dxa"/>
            <w:gridSpan w:val="5"/>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产出目标</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（部门工作实绩，包含上级部门和市委市政府布置的重点工作、实事任务等，根据部门实际进行调整细化）</w:t>
            </w:r>
          </w:p>
        </w:tc>
        <w:tc>
          <w:tcPr>
            <w:tcW w:w="270" w:type="dxa"/>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质量指标</w:t>
            </w: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指标1：严控三调质量，确保核查成果。</w:t>
            </w:r>
          </w:p>
        </w:tc>
        <w:tc>
          <w:tcPr>
            <w:tcW w:w="4006" w:type="dxa"/>
            <w:gridSpan w:val="5"/>
            <w:vAlign w:val="center"/>
          </w:tcPr>
          <w:p>
            <w:pPr>
              <w:autoSpaceDN w:val="0"/>
              <w:textAlignment w:val="center"/>
              <w:rPr>
                <w:rFonts w:ascii="仿宋" w:hAnsi="仿宋" w:eastAsia="仿宋" w:cs="仿宋_GB2312"/>
                <w:b/>
                <w:color w:val="000000"/>
                <w:sz w:val="24"/>
              </w:rPr>
            </w:pPr>
            <w:r>
              <w:rPr>
                <w:rFonts w:hint="eastAsia" w:ascii="仿宋" w:hAnsi="仿宋" w:eastAsia="仿宋" w:cs="仿宋_GB2312"/>
                <w:sz w:val="24"/>
              </w:rPr>
              <w:t>精心组织，严格标准，严控质量，“三调”</w:t>
            </w:r>
            <w:r>
              <w:rPr>
                <w:rFonts w:hint="eastAsia" w:ascii="仿宋" w:hAnsi="仿宋" w:eastAsia="仿宋" w:cs="仿宋_GB2312"/>
                <w:sz w:val="24"/>
                <w:lang w:val="zh-CN"/>
              </w:rPr>
              <w:t>成果被列为我省第一批次核查成果上报国家，受到市三调办通报表扬。调查结果表明，我区调查总面积37786.52公顷，其中建设用地5669.79公顷、农用地27449.33公顷、未利用地4667.4公顷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指标2：严格落实防汛，地质灾害预报和巡查。</w:t>
            </w:r>
          </w:p>
        </w:tc>
        <w:tc>
          <w:tcPr>
            <w:tcW w:w="4006" w:type="dxa"/>
            <w:gridSpan w:val="5"/>
            <w:vAlign w:val="center"/>
          </w:tcPr>
          <w:p>
            <w:pPr>
              <w:autoSpaceDN w:val="0"/>
              <w:textAlignment w:val="center"/>
              <w:rPr>
                <w:rFonts w:ascii="仿宋" w:hAnsi="仿宋" w:eastAsia="仿宋" w:cs="宋体"/>
                <w:color w:val="000000"/>
                <w:sz w:val="24"/>
              </w:rPr>
            </w:pPr>
            <w:r>
              <w:rPr>
                <w:rFonts w:hint="eastAsia" w:ascii="仿宋" w:hAnsi="仿宋" w:eastAsia="仿宋" w:cs="仿宋_GB2312"/>
                <w:color w:val="000000"/>
                <w:sz w:val="24"/>
              </w:rPr>
              <w:t>落实巡查督查制度，实行汛期地质灾害24小时值班制，开展预警预报和专项巡查工作，对全区范围内的地质灾害隐患等进行现场摸排。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指标3：以党建促脱贫攻坚，巩固提升脱贫成效。</w:t>
            </w:r>
          </w:p>
        </w:tc>
        <w:tc>
          <w:tcPr>
            <w:tcW w:w="4006" w:type="dxa"/>
            <w:gridSpan w:val="5"/>
            <w:vAlign w:val="center"/>
          </w:tcPr>
          <w:p>
            <w:pPr>
              <w:autoSpaceDN w:val="0"/>
              <w:textAlignment w:val="center"/>
              <w:rPr>
                <w:rFonts w:ascii="仿宋" w:hAnsi="仿宋" w:eastAsia="仿宋" w:cs="仿宋_GB2312"/>
                <w:b/>
                <w:color w:val="000000"/>
                <w:sz w:val="24"/>
              </w:rPr>
            </w:pPr>
            <w:r>
              <w:rPr>
                <w:rFonts w:hint="eastAsia" w:ascii="仿宋" w:hAnsi="仿宋" w:eastAsia="仿宋" w:cs="仿宋_GB2312"/>
                <w:sz w:val="24"/>
              </w:rPr>
              <w:t>以党建促脱贫攻坚，落实结对帮扶任务，巩固提升脱贫成效，带领分局班子开展扶贫走访慰问，全年累计走访慰问120次，落实帮扶资金15万元，助力消费扶贫3.8万元，直接慰问物资和现金4万元。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数量指标</w:t>
            </w: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指标1：启动6个乡村规划试点</w:t>
            </w:r>
          </w:p>
        </w:tc>
        <w:tc>
          <w:tcPr>
            <w:tcW w:w="4006" w:type="dxa"/>
            <w:gridSpan w:val="5"/>
            <w:vAlign w:val="center"/>
          </w:tcPr>
          <w:p>
            <w:pPr>
              <w:rPr>
                <w:rFonts w:ascii="仿宋" w:hAnsi="仿宋" w:eastAsia="仿宋" w:cs="仿宋_GB2312"/>
                <w:b/>
                <w:color w:val="000000"/>
                <w:sz w:val="24"/>
              </w:rPr>
            </w:pPr>
            <w:r>
              <w:rPr>
                <w:rFonts w:hint="eastAsia" w:ascii="仿宋" w:hAnsi="仿宋" w:eastAsia="仿宋"/>
                <w:sz w:val="24"/>
              </w:rPr>
              <w:t>完成了《云溪区村庄分类与布局规划》编制，启动了6个乡村规划试点，试点包括双花清溪、友好、团结、泾港和枧冲。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autoSpaceDN w:val="0"/>
              <w:jc w:val="center"/>
              <w:textAlignment w:val="cente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指标2：强力推进月清“三地”工作</w:t>
            </w:r>
          </w:p>
        </w:tc>
        <w:tc>
          <w:tcPr>
            <w:tcW w:w="4006" w:type="dxa"/>
            <w:gridSpan w:val="5"/>
            <w:vAlign w:val="center"/>
          </w:tcPr>
          <w:p>
            <w:pPr>
              <w:autoSpaceDN w:val="0"/>
              <w:textAlignment w:val="center"/>
              <w:rPr>
                <w:rFonts w:ascii="仿宋" w:hAnsi="仿宋" w:eastAsia="仿宋" w:cs="仿宋_GB2312"/>
                <w:b/>
                <w:color w:val="000000"/>
                <w:sz w:val="24"/>
              </w:rPr>
            </w:pPr>
            <w:r>
              <w:rPr>
                <w:rFonts w:hint="eastAsia" w:ascii="仿宋" w:hAnsi="仿宋" w:eastAsia="仿宋"/>
                <w:sz w:val="24"/>
              </w:rPr>
              <w:t>累计召开六次土地储备与出让委员会议，挂牌出让了己内酰胺产业链搬迁、道仁矶物流园加油站、云虹东方住宅小区等项目土地11宗，出让面积3106亩，出让价款9.2亿元。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autoSpaceDN w:val="0"/>
              <w:jc w:val="center"/>
              <w:textAlignment w:val="cente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指标3：</w:t>
            </w:r>
            <w:r>
              <w:rPr>
                <w:rFonts w:hint="eastAsia" w:ascii="仿宋" w:hAnsi="仿宋" w:eastAsia="仿宋" w:cs="仿宋_GB2312"/>
                <w:sz w:val="24"/>
              </w:rPr>
              <w:t>“不忘初心、牢记使命”学习教育常态化</w:t>
            </w:r>
          </w:p>
        </w:tc>
        <w:tc>
          <w:tcPr>
            <w:tcW w:w="4006" w:type="dxa"/>
            <w:gridSpan w:val="5"/>
            <w:vAlign w:val="center"/>
          </w:tcPr>
          <w:p>
            <w:pPr>
              <w:autoSpaceDN w:val="0"/>
              <w:textAlignment w:val="center"/>
              <w:rPr>
                <w:rFonts w:ascii="仿宋" w:hAnsi="仿宋" w:eastAsia="仿宋" w:cs="仿宋_GB2312"/>
                <w:b/>
                <w:color w:val="000000"/>
                <w:sz w:val="24"/>
              </w:rPr>
            </w:pPr>
            <w:r>
              <w:rPr>
                <w:rFonts w:hint="eastAsia" w:ascii="仿宋" w:hAnsi="仿宋" w:eastAsia="仿宋" w:cs="仿宋_GB2312"/>
                <w:sz w:val="24"/>
              </w:rPr>
              <w:t>严格落实“三会一课”等组织学习规定动作，结合党员大会累计开展支部集中学习10次，支部书记、班子成员、党支部书记等上专题党课5次。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autoSpaceDN w:val="0"/>
              <w:jc w:val="center"/>
              <w:textAlignment w:val="cente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指标4：加大执法监察，土地依法征收工作成效明显</w:t>
            </w:r>
          </w:p>
        </w:tc>
        <w:tc>
          <w:tcPr>
            <w:tcW w:w="4006" w:type="dxa"/>
            <w:gridSpan w:val="5"/>
            <w:vAlign w:val="center"/>
          </w:tcPr>
          <w:p>
            <w:pPr>
              <w:jc w:val="left"/>
              <w:rPr>
                <w:rFonts w:ascii="仿宋" w:hAnsi="仿宋" w:eastAsia="仿宋" w:cs="仿宋_GB2312"/>
                <w:b/>
                <w:color w:val="000000"/>
                <w:sz w:val="24"/>
              </w:rPr>
            </w:pPr>
            <w:r>
              <w:rPr>
                <w:rFonts w:hint="eastAsia" w:ascii="仿宋" w:hAnsi="仿宋" w:eastAsia="仿宋" w:cs="仿宋_GB2312"/>
                <w:sz w:val="24"/>
              </w:rPr>
              <w:t>我们负责的13个违法图斑已全部处理到位（新港区1宗未处理到位）。</w:t>
            </w:r>
            <w:r>
              <w:rPr>
                <w:rFonts w:hint="eastAsia" w:ascii="仿宋" w:hAnsi="仿宋" w:eastAsia="仿宋" w:cs="楷体_GB2312"/>
                <w:bCs/>
                <w:sz w:val="24"/>
              </w:rPr>
              <w:t>土地依法征收方面。</w:t>
            </w:r>
            <w:r>
              <w:rPr>
                <w:rFonts w:hint="eastAsia" w:ascii="仿宋" w:hAnsi="仿宋" w:eastAsia="仿宋" w:cs="仿宋_GB2312"/>
                <w:sz w:val="24"/>
              </w:rPr>
              <w:t>包括己内酰胺在内的5个项目全部清零，征收土地3554亩，拆迁房屋169户、面积65829平方米，位列全市前茅。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autoSpaceDN w:val="0"/>
              <w:jc w:val="center"/>
              <w:textAlignment w:val="cente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指标5：</w:t>
            </w:r>
            <w:r>
              <w:rPr>
                <w:rFonts w:hint="eastAsia" w:ascii="仿宋" w:hAnsi="仿宋" w:eastAsia="仿宋" w:cs="仿宋_GB2312"/>
                <w:sz w:val="24"/>
              </w:rPr>
              <w:t>以党建促脱贫攻坚</w:t>
            </w:r>
          </w:p>
        </w:tc>
        <w:tc>
          <w:tcPr>
            <w:tcW w:w="4006" w:type="dxa"/>
            <w:gridSpan w:val="5"/>
            <w:vAlign w:val="center"/>
          </w:tcPr>
          <w:p>
            <w:pPr>
              <w:jc w:val="left"/>
              <w:rPr>
                <w:rFonts w:ascii="仿宋" w:hAnsi="仿宋" w:eastAsia="仿宋" w:cs="仿宋_GB2312"/>
                <w:sz w:val="24"/>
              </w:rPr>
            </w:pPr>
            <w:r>
              <w:rPr>
                <w:rFonts w:hint="eastAsia" w:ascii="仿宋" w:hAnsi="仿宋" w:eastAsia="仿宋" w:cs="仿宋_GB2312"/>
                <w:sz w:val="24"/>
              </w:rPr>
              <w:t>局班子开展扶贫走访慰问，全年累计走访慰问120次，落实帮扶资金15万元，助力消费扶贫3.8万元，直接慰问物资和现金4万元。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autoSpaceDN w:val="0"/>
              <w:jc w:val="center"/>
              <w:textAlignment w:val="cente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指标6：积极稳妥推进房地一体颁证工作</w:t>
            </w:r>
          </w:p>
        </w:tc>
        <w:tc>
          <w:tcPr>
            <w:tcW w:w="4006" w:type="dxa"/>
            <w:gridSpan w:val="5"/>
            <w:vAlign w:val="center"/>
          </w:tcPr>
          <w:p>
            <w:pPr>
              <w:jc w:val="left"/>
              <w:rPr>
                <w:rFonts w:ascii="仿宋" w:hAnsi="仿宋" w:eastAsia="仿宋" w:cs="仿宋_GB2312"/>
                <w:sz w:val="24"/>
              </w:rPr>
            </w:pPr>
            <w:r>
              <w:rPr>
                <w:rFonts w:hint="eastAsia" w:ascii="仿宋" w:hAnsi="仿宋" w:eastAsia="仿宋"/>
                <w:sz w:val="24"/>
              </w:rPr>
              <w:t>完成了全部外业调查任务，全区45个行政村（居）已全部通过验收。云溪区调查宗地数共21100宗，内业已完成18019宗，完成率85.4％；省厅确定登记发证任务9148宗已全部完成，完成率100%。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时效指标</w:t>
            </w: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指标1：</w:t>
            </w:r>
            <w:r>
              <w:rPr>
                <w:rFonts w:hint="eastAsia" w:ascii="仿宋" w:hAnsi="仿宋" w:eastAsia="仿宋"/>
                <w:sz w:val="24"/>
              </w:rPr>
              <w:t>闲置土地处置工作取得明显成效</w:t>
            </w:r>
          </w:p>
        </w:tc>
        <w:tc>
          <w:tcPr>
            <w:tcW w:w="4006" w:type="dxa"/>
            <w:gridSpan w:val="5"/>
            <w:vAlign w:val="center"/>
          </w:tcPr>
          <w:p>
            <w:pPr>
              <w:autoSpaceDN w:val="0"/>
              <w:textAlignment w:val="center"/>
              <w:rPr>
                <w:rFonts w:ascii="仿宋" w:hAnsi="仿宋" w:eastAsia="仿宋" w:cs="仿宋_GB2312"/>
                <w:b/>
                <w:color w:val="000000"/>
                <w:sz w:val="24"/>
              </w:rPr>
            </w:pPr>
            <w:r>
              <w:rPr>
                <w:rFonts w:hint="eastAsia" w:ascii="仿宋" w:hAnsi="仿宋" w:eastAsia="仿宋" w:cs="仿宋_GB2312"/>
                <w:sz w:val="24"/>
              </w:rPr>
              <w:t>省厅下发的闲置土地处置任务已全部完成。</w:t>
            </w:r>
            <w:r>
              <w:rPr>
                <w:rFonts w:hint="eastAsia" w:ascii="仿宋" w:hAnsi="仿宋" w:eastAsia="仿宋" w:cs="楷体_GB2312"/>
                <w:sz w:val="24"/>
              </w:rPr>
              <w:t>今年</w:t>
            </w:r>
            <w:r>
              <w:rPr>
                <w:rFonts w:hint="eastAsia" w:ascii="仿宋" w:hAnsi="仿宋" w:eastAsia="仿宋" w:cs="仿宋_GB2312"/>
                <w:sz w:val="24"/>
              </w:rPr>
              <w:t>累计接到省厅下达的违法用地处置任务14宗，总面积111.04亩（其中耕地30.34亩、永久基本农田4.1亩）。对于每月下发的违法用地处置图斑任务，我们做到立查立改，满足省厅月清到位的要求。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autoSpaceDN w:val="0"/>
              <w:jc w:val="center"/>
              <w:textAlignment w:val="center"/>
              <w:rPr>
                <w:rFonts w:ascii="仿宋" w:hAnsi="仿宋" w:eastAsia="仿宋" w:cs="仿宋_GB2312"/>
                <w:color w:val="000000"/>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楷体_GB2312"/>
                <w:bCs/>
                <w:sz w:val="24"/>
              </w:rPr>
              <w:t>指标2：</w:t>
            </w:r>
            <w:r>
              <w:rPr>
                <w:rFonts w:hint="eastAsia" w:ascii="仿宋" w:hAnsi="仿宋" w:eastAsia="仿宋"/>
                <w:sz w:val="24"/>
              </w:rPr>
              <w:t>全力推进不动产登记160改革</w:t>
            </w:r>
          </w:p>
        </w:tc>
        <w:tc>
          <w:tcPr>
            <w:tcW w:w="4006" w:type="dxa"/>
            <w:gridSpan w:val="5"/>
            <w:vAlign w:val="center"/>
          </w:tcPr>
          <w:p>
            <w:pPr>
              <w:jc w:val="left"/>
              <w:rPr>
                <w:rFonts w:ascii="仿宋" w:hAnsi="仿宋" w:eastAsia="仿宋" w:cs="仿宋_GB2312"/>
                <w:b/>
                <w:color w:val="000000"/>
                <w:sz w:val="24"/>
              </w:rPr>
            </w:pPr>
            <w:r>
              <w:rPr>
                <w:rFonts w:hint="eastAsia" w:ascii="仿宋" w:hAnsi="仿宋" w:eastAsia="仿宋"/>
                <w:sz w:val="24"/>
              </w:rPr>
              <w:t>我局不动产登记中心在8月份完成“岳阳市不动产登记综合平台”建设上线，具有线上线下一体、多部门联办、虚实结合的功能，能为群众提供更加便捷的登记和交易服务。积极推进“交房即交证”工作，12月11日在大汉云龙新城实现首证颁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Merge w:val="continue"/>
            <w:vAlign w:val="center"/>
          </w:tcPr>
          <w:p>
            <w:pPr>
              <w:autoSpaceDN w:val="0"/>
              <w:jc w:val="center"/>
              <w:textAlignment w:val="center"/>
              <w:rPr>
                <w:rFonts w:ascii="仿宋" w:hAnsi="仿宋" w:eastAsia="仿宋" w:cs="仿宋_GB2312"/>
                <w:sz w:val="24"/>
              </w:rPr>
            </w:pP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指标3：</w:t>
            </w:r>
            <w:r>
              <w:rPr>
                <w:rFonts w:hint="eastAsia" w:ascii="仿宋" w:hAnsi="仿宋" w:eastAsia="仿宋" w:cs="楷体_GB2312"/>
                <w:bCs/>
                <w:sz w:val="24"/>
              </w:rPr>
              <w:t>积极开展“最多跑一次”改革</w:t>
            </w:r>
          </w:p>
        </w:tc>
        <w:tc>
          <w:tcPr>
            <w:tcW w:w="4006" w:type="dxa"/>
            <w:gridSpan w:val="5"/>
            <w:vAlign w:val="center"/>
          </w:tcPr>
          <w:p>
            <w:pPr>
              <w:jc w:val="left"/>
              <w:rPr>
                <w:rFonts w:ascii="仿宋" w:hAnsi="仿宋" w:eastAsia="仿宋" w:cs="仿宋_GB2312"/>
                <w:b/>
                <w:color w:val="000000"/>
                <w:sz w:val="24"/>
              </w:rPr>
            </w:pPr>
            <w:r>
              <w:rPr>
                <w:rFonts w:hint="eastAsia" w:ascii="仿宋" w:hAnsi="仿宋" w:eastAsia="仿宋" w:cs="仿宋_GB2312"/>
                <w:sz w:val="24"/>
              </w:rPr>
              <w:t>工程建设领域“三证一书”发放等工作都已移交至行政审批窗口，实现了行政审批职能应进尽进，联审联办。2020年共核发《建设工程规划许可证》41个，包括兴长石化20万吨/年烷基化装置及配套项目，中石化催化剂500吨/年球型氧化铝装置等项目，发证面积29.8万平方米，收取城市建设配套费144.5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restart"/>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效益目标</w:t>
            </w:r>
          </w:p>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（预期实现的效益）</w:t>
            </w:r>
          </w:p>
        </w:tc>
        <w:tc>
          <w:tcPr>
            <w:tcW w:w="270"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社会效益</w:t>
            </w: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指标1：加强基础数据信息平台建设指标2：提高基础数据查阅速度和准确率</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指标3：地质灾害防治工作确保人民群众生命和财产安全</w:t>
            </w:r>
          </w:p>
        </w:tc>
        <w:tc>
          <w:tcPr>
            <w:tcW w:w="4006" w:type="dxa"/>
            <w:gridSpan w:val="5"/>
            <w:vAlign w:val="center"/>
          </w:tcPr>
          <w:p>
            <w:pPr>
              <w:autoSpaceDN w:val="0"/>
              <w:textAlignment w:val="center"/>
              <w:rPr>
                <w:rFonts w:ascii="仿宋" w:hAnsi="仿宋" w:eastAsia="仿宋" w:cs="仿宋_GB2312"/>
                <w:sz w:val="24"/>
              </w:rPr>
            </w:pPr>
            <w:r>
              <w:rPr>
                <w:rFonts w:hint="eastAsia" w:ascii="仿宋" w:hAnsi="仿宋" w:eastAsia="仿宋"/>
                <w:sz w:val="24"/>
              </w:rPr>
              <w:t>我局不动产登记中心在8月份完成“岳阳市不动产登记综合平台”建设上线，具有线上线下一体、多部门联办、虚实结合的功能，能为群众提供更加便捷的登记和交易服务。积极推进“交房即交证”工作，12月11日在大汉云龙新城实现首证颁发。</w:t>
            </w:r>
            <w:r>
              <w:rPr>
                <w:rFonts w:hint="eastAsia" w:ascii="仿宋" w:hAnsi="仿宋" w:eastAsia="仿宋" w:cs="仿宋_GB2312"/>
                <w:sz w:val="24"/>
              </w:rPr>
              <w:t>建立了无纸化审批系统，工程建设领域“三证一书”发放等工作都已移交至行政审批窗口，实现了行政审批职能应进尽进，联审联办。</w:t>
            </w:r>
          </w:p>
          <w:p>
            <w:pPr>
              <w:autoSpaceDN w:val="0"/>
              <w:textAlignment w:val="center"/>
              <w:rPr>
                <w:rFonts w:ascii="仿宋" w:hAnsi="仿宋" w:eastAsia="仿宋" w:cs="仿宋_GB2312"/>
                <w:b/>
                <w:color w:val="000000"/>
                <w:sz w:val="24"/>
              </w:rPr>
            </w:pPr>
            <w:r>
              <w:rPr>
                <w:rFonts w:hint="eastAsia" w:ascii="仿宋" w:hAnsi="仿宋" w:eastAsia="仿宋" w:cs="仿宋_GB2312"/>
                <w:color w:val="000000"/>
                <w:sz w:val="24"/>
              </w:rPr>
              <w:t>地质灾害防治方面：落实巡查督查制度，实行汛期地质灾害24小时值班制，开展预警预报和专项巡查工作，对全区范围内的地质灾害隐患等进行现场摸排。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经济效益</w:t>
            </w: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指标1：加强土地开发利用，助力乡村振兴</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指标2：保障项目用地，促进经济发展</w:t>
            </w:r>
          </w:p>
        </w:tc>
        <w:tc>
          <w:tcPr>
            <w:tcW w:w="4006" w:type="dxa"/>
            <w:gridSpan w:val="5"/>
            <w:vAlign w:val="center"/>
          </w:tcPr>
          <w:p>
            <w:pPr>
              <w:ind w:firstLine="480" w:firstLineChars="200"/>
              <w:jc w:val="left"/>
              <w:rPr>
                <w:rFonts w:ascii="仿宋" w:hAnsi="仿宋" w:eastAsia="仿宋"/>
                <w:sz w:val="24"/>
              </w:rPr>
            </w:pPr>
            <w:r>
              <w:rPr>
                <w:rFonts w:hint="eastAsia" w:ascii="仿宋" w:hAnsi="仿宋" w:eastAsia="仿宋" w:cs="仿宋_GB2312"/>
                <w:sz w:val="24"/>
                <w:lang w:val="zh-CN"/>
              </w:rPr>
              <w:t>完成了</w:t>
            </w:r>
            <w:r>
              <w:rPr>
                <w:rFonts w:hint="eastAsia" w:ascii="仿宋" w:hAnsi="仿宋" w:eastAsia="仿宋" w:cs="仿宋_GB2312"/>
                <w:sz w:val="24"/>
              </w:rPr>
              <w:t>538公顷</w:t>
            </w:r>
            <w:r>
              <w:rPr>
                <w:rFonts w:hint="eastAsia" w:ascii="仿宋" w:hAnsi="仿宋" w:eastAsia="仿宋" w:cs="仿宋_GB2312"/>
                <w:sz w:val="24"/>
                <w:lang w:val="zh-CN"/>
              </w:rPr>
              <w:t>永久基本农田储备区的划定。</w:t>
            </w:r>
            <w:r>
              <w:rPr>
                <w:rFonts w:hint="eastAsia" w:ascii="仿宋" w:hAnsi="仿宋" w:eastAsia="仿宋"/>
                <w:sz w:val="24"/>
              </w:rPr>
              <w:t>完成了路口镇南岳村毛谷垄、牌楼村甘家湾等7个土地整治项目，</w:t>
            </w:r>
            <w:r>
              <w:rPr>
                <w:rFonts w:hint="eastAsia" w:ascii="仿宋" w:hAnsi="仿宋" w:eastAsia="仿宋" w:cs="仿宋_GB2312"/>
                <w:sz w:val="24"/>
              </w:rPr>
              <w:t>总建设规模1105亩，总投资1600万元，可新增水田981亩</w:t>
            </w:r>
            <w:r>
              <w:rPr>
                <w:rFonts w:hint="eastAsia" w:ascii="仿宋" w:hAnsi="仿宋" w:eastAsia="仿宋"/>
                <w:sz w:val="24"/>
              </w:rPr>
              <w:t>。</w:t>
            </w:r>
          </w:p>
          <w:p>
            <w:pPr>
              <w:autoSpaceDN w:val="0"/>
              <w:textAlignment w:val="center"/>
              <w:rPr>
                <w:rFonts w:ascii="仿宋" w:hAnsi="仿宋" w:eastAsia="仿宋" w:cs="仿宋_GB2312"/>
                <w:b/>
                <w:color w:val="000000"/>
                <w:sz w:val="24"/>
              </w:rPr>
            </w:pPr>
            <w:r>
              <w:rPr>
                <w:rFonts w:hint="eastAsia" w:ascii="仿宋" w:hAnsi="仿宋" w:eastAsia="仿宋"/>
                <w:sz w:val="24"/>
              </w:rPr>
              <w:t xml:space="preserve">    累计召开六次土地储备与出让委员会议，挂牌出让了己内酰胺产业链搬迁、道仁矶物流园加油站、云虹东方住宅小区等项目土地11宗，出让面积3106亩，出让价款9.2亿元。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生态效益</w:t>
            </w: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指标1：以保障国家粮食安全为前提，大力开展土地开发利用</w:t>
            </w:r>
          </w:p>
        </w:tc>
        <w:tc>
          <w:tcPr>
            <w:tcW w:w="4006" w:type="dxa"/>
            <w:gridSpan w:val="5"/>
            <w:vAlign w:val="center"/>
          </w:tcPr>
          <w:p>
            <w:pPr>
              <w:ind w:firstLine="480" w:firstLineChars="200"/>
              <w:rPr>
                <w:rFonts w:ascii="仿宋" w:hAnsi="仿宋" w:eastAsia="仿宋" w:cs="仿宋_GB2312"/>
                <w:b/>
                <w:color w:val="000000"/>
                <w:sz w:val="24"/>
              </w:rPr>
            </w:pPr>
            <w:r>
              <w:rPr>
                <w:rFonts w:hint="eastAsia" w:ascii="仿宋" w:hAnsi="仿宋" w:eastAsia="仿宋"/>
                <w:sz w:val="24"/>
              </w:rPr>
              <w:t>完成了路口镇南岳村毛谷垄、牌楼村甘家湾等7个土地整治项目，</w:t>
            </w:r>
            <w:r>
              <w:rPr>
                <w:rFonts w:hint="eastAsia" w:ascii="仿宋" w:hAnsi="仿宋" w:eastAsia="仿宋" w:cs="仿宋_GB2312"/>
                <w:sz w:val="24"/>
              </w:rPr>
              <w:t>总建设规模1105亩，总投资1600万元，新增水田981亩</w:t>
            </w:r>
            <w:r>
              <w:rPr>
                <w:rFonts w:hint="eastAsia" w:ascii="仿宋" w:hAnsi="仿宋" w:eastAsia="仿宋"/>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865" w:type="dxa"/>
            <w:vMerge w:val="continue"/>
            <w:vAlign w:val="center"/>
          </w:tcPr>
          <w:p>
            <w:pPr>
              <w:rPr>
                <w:rFonts w:ascii="仿宋" w:hAnsi="仿宋" w:eastAsia="仿宋" w:cs="仿宋_GB2312"/>
                <w:sz w:val="24"/>
              </w:rPr>
            </w:pPr>
          </w:p>
        </w:tc>
        <w:tc>
          <w:tcPr>
            <w:tcW w:w="2833" w:type="dxa"/>
            <w:gridSpan w:val="3"/>
            <w:vMerge w:val="continue"/>
            <w:vAlign w:val="center"/>
          </w:tcPr>
          <w:p>
            <w:pPr>
              <w:autoSpaceDN w:val="0"/>
              <w:rPr>
                <w:rFonts w:ascii="仿宋" w:hAnsi="仿宋" w:eastAsia="仿宋" w:cs="仿宋_GB2312"/>
                <w:sz w:val="24"/>
              </w:rPr>
            </w:pPr>
          </w:p>
        </w:tc>
        <w:tc>
          <w:tcPr>
            <w:tcW w:w="270"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社会公众或服务对象满意度</w:t>
            </w:r>
          </w:p>
        </w:tc>
        <w:tc>
          <w:tcPr>
            <w:tcW w:w="927" w:type="dxa"/>
            <w:gridSpan w:val="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指标1：深化“互联网+政务服务”改革，实现便民高效</w:t>
            </w:r>
          </w:p>
        </w:tc>
        <w:tc>
          <w:tcPr>
            <w:tcW w:w="4006" w:type="dxa"/>
            <w:gridSpan w:val="5"/>
            <w:vAlign w:val="center"/>
          </w:tcPr>
          <w:p>
            <w:pPr>
              <w:ind w:firstLine="480" w:firstLineChars="200"/>
              <w:rPr>
                <w:rFonts w:ascii="仿宋" w:hAnsi="仿宋" w:eastAsia="仿宋" w:cs="仿宋_GB2312"/>
                <w:b/>
                <w:color w:val="000000"/>
                <w:sz w:val="24"/>
              </w:rPr>
            </w:pPr>
            <w:r>
              <w:rPr>
                <w:rFonts w:hint="eastAsia" w:ascii="仿宋" w:hAnsi="仿宋" w:eastAsia="仿宋"/>
                <w:sz w:val="24"/>
              </w:rPr>
              <w:t>我局不动产登记中心在8月份完成“岳阳市不动产登记综合平台”建设上线，具有线上线下一体、多部门联办、虚实结合的功能，能为群众提供更加便捷的登记和交易服务。本着“一件事一次办”的服务理念，我局积极推进“交房即交证”工作</w:t>
            </w:r>
            <w:r>
              <w:rPr>
                <w:rFonts w:hint="eastAsia" w:ascii="仿宋" w:hAnsi="仿宋" w:eastAsia="仿宋" w:cs="仿宋_GB2312"/>
                <w:sz w:val="24"/>
              </w:rPr>
              <w:t>，建立无纸化审批系统。工程建设领域“三证一书”发放等工作都已移交至行政审批窗口，实现了行政审批职能应进尽进，联审联办。2020年共核发《建设工程规划许可证》41个，实现了群众办理业务“一窗式受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3698"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绩效自评综合得分</w:t>
            </w:r>
          </w:p>
        </w:tc>
        <w:tc>
          <w:tcPr>
            <w:tcW w:w="5203" w:type="dxa"/>
            <w:gridSpan w:val="8"/>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3698"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评价等次</w:t>
            </w:r>
          </w:p>
        </w:tc>
        <w:tc>
          <w:tcPr>
            <w:tcW w:w="5203" w:type="dxa"/>
            <w:gridSpan w:val="8"/>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57" w:hRule="atLeast"/>
          <w:jc w:val="center"/>
        </w:trPr>
        <w:tc>
          <w:tcPr>
            <w:tcW w:w="8901" w:type="dxa"/>
            <w:gridSpan w:val="1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黑体"/>
                <w:color w:val="000000"/>
                <w:sz w:val="24"/>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姓  名</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职务/职称</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单  位</w:t>
            </w:r>
          </w:p>
        </w:tc>
        <w:tc>
          <w:tcPr>
            <w:tcW w:w="4006" w:type="dxa"/>
            <w:gridSpan w:val="5"/>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游正来</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股长</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财务股</w:t>
            </w:r>
          </w:p>
        </w:tc>
        <w:tc>
          <w:tcPr>
            <w:tcW w:w="4006" w:type="dxa"/>
            <w:gridSpan w:val="5"/>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罗哲</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主任</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不动产登记中心</w:t>
            </w:r>
          </w:p>
        </w:tc>
        <w:tc>
          <w:tcPr>
            <w:tcW w:w="4006" w:type="dxa"/>
            <w:gridSpan w:val="5"/>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范小辉</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股长</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执法监察大队</w:t>
            </w:r>
          </w:p>
        </w:tc>
        <w:tc>
          <w:tcPr>
            <w:tcW w:w="4006" w:type="dxa"/>
            <w:gridSpan w:val="5"/>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865" w:type="dxa"/>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李力</w:t>
            </w:r>
          </w:p>
        </w:tc>
        <w:tc>
          <w:tcPr>
            <w:tcW w:w="3103" w:type="dxa"/>
            <w:gridSpan w:val="4"/>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主任</w:t>
            </w:r>
          </w:p>
        </w:tc>
        <w:tc>
          <w:tcPr>
            <w:tcW w:w="927" w:type="dxa"/>
            <w:gridSpan w:val="2"/>
            <w:vAlign w:val="center"/>
          </w:tcPr>
          <w:p>
            <w:pPr>
              <w:autoSpaceDN w:val="0"/>
              <w:jc w:val="center"/>
              <w:textAlignment w:val="center"/>
              <w:rPr>
                <w:rFonts w:ascii="仿宋" w:hAnsi="仿宋" w:eastAsia="仿宋" w:cs="仿宋_GB2312"/>
                <w:color w:val="000000"/>
                <w:sz w:val="24"/>
              </w:rPr>
            </w:pPr>
            <w:r>
              <w:rPr>
                <w:rFonts w:hint="eastAsia" w:ascii="仿宋" w:hAnsi="仿宋" w:eastAsia="仿宋" w:cs="仿宋_GB2312"/>
                <w:color w:val="000000"/>
                <w:sz w:val="24"/>
              </w:rPr>
              <w:t>办公室</w:t>
            </w:r>
          </w:p>
        </w:tc>
        <w:tc>
          <w:tcPr>
            <w:tcW w:w="4006" w:type="dxa"/>
            <w:gridSpan w:val="5"/>
            <w:vAlign w:val="center"/>
          </w:tcPr>
          <w:p>
            <w:pPr>
              <w:autoSpaceDN w:val="0"/>
              <w:jc w:val="center"/>
              <w:textAlignment w:val="center"/>
              <w:rPr>
                <w:rFonts w:ascii="仿宋" w:hAnsi="仿宋" w:eastAsia="仿宋"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776" w:hRule="atLeast"/>
          <w:jc w:val="center"/>
        </w:trPr>
        <w:tc>
          <w:tcPr>
            <w:tcW w:w="8901" w:type="dxa"/>
            <w:gridSpan w:val="1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评价组组长（签字）：</w:t>
            </w:r>
          </w:p>
          <w:p>
            <w:pPr>
              <w:autoSpaceDN w:val="0"/>
              <w:jc w:val="left"/>
              <w:textAlignment w:val="center"/>
              <w:rPr>
                <w:rFonts w:ascii="仿宋" w:hAnsi="仿宋" w:eastAsia="仿宋" w:cs="仿宋_GB2312"/>
                <w:color w:val="000000"/>
                <w:sz w:val="24"/>
              </w:rPr>
            </w:pPr>
          </w:p>
          <w:p>
            <w:pPr>
              <w:autoSpaceDN w:val="0"/>
              <w:jc w:val="left"/>
              <w:textAlignment w:val="center"/>
              <w:rPr>
                <w:rFonts w:ascii="仿宋" w:hAnsi="仿宋" w:eastAsia="仿宋" w:cs="仿宋_GB2312"/>
                <w:color w:val="000000"/>
                <w:sz w:val="24"/>
              </w:rPr>
            </w:pPr>
          </w:p>
          <w:p>
            <w:pPr>
              <w:autoSpaceDN w:val="0"/>
              <w:jc w:val="left"/>
              <w:textAlignment w:val="center"/>
              <w:rPr>
                <w:rFonts w:ascii="仿宋" w:hAnsi="仿宋" w:eastAsia="仿宋" w:cs="仿宋_GB2312"/>
                <w:color w:val="000000"/>
                <w:sz w:val="24"/>
              </w:rPr>
            </w:pP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830" w:hRule="atLeast"/>
          <w:jc w:val="center"/>
        </w:trPr>
        <w:tc>
          <w:tcPr>
            <w:tcW w:w="8901" w:type="dxa"/>
            <w:gridSpan w:val="12"/>
            <w:vAlign w:val="center"/>
          </w:tcPr>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部门（单位）意见：</w:t>
            </w:r>
          </w:p>
          <w:p>
            <w:pPr>
              <w:autoSpaceDN w:val="0"/>
              <w:jc w:val="left"/>
              <w:textAlignment w:val="center"/>
              <w:rPr>
                <w:rFonts w:ascii="仿宋" w:hAnsi="仿宋" w:eastAsia="仿宋" w:cs="仿宋_GB2312"/>
                <w:color w:val="000000"/>
                <w:sz w:val="24"/>
              </w:rPr>
            </w:pPr>
          </w:p>
          <w:p>
            <w:pPr>
              <w:autoSpaceDN w:val="0"/>
              <w:jc w:val="left"/>
              <w:textAlignment w:val="center"/>
              <w:rPr>
                <w:rFonts w:ascii="仿宋" w:hAnsi="仿宋" w:eastAsia="仿宋" w:cs="仿宋_GB2312"/>
                <w:color w:val="000000"/>
                <w:sz w:val="24"/>
              </w:rPr>
            </w:pPr>
          </w:p>
          <w:p>
            <w:pPr>
              <w:autoSpaceDN w:val="0"/>
              <w:jc w:val="left"/>
              <w:textAlignment w:val="center"/>
              <w:rPr>
                <w:rFonts w:ascii="仿宋" w:hAnsi="仿宋" w:eastAsia="仿宋" w:cs="仿宋_GB2312"/>
                <w:color w:val="000000"/>
                <w:sz w:val="24"/>
              </w:rPr>
            </w:pP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 xml:space="preserve">                                         部门（单位）负责人（签章）：</w:t>
            </w:r>
          </w:p>
          <w:p>
            <w:pPr>
              <w:autoSpaceDN w:val="0"/>
              <w:jc w:val="left"/>
              <w:textAlignment w:val="center"/>
              <w:rPr>
                <w:rFonts w:ascii="仿宋" w:hAnsi="仿宋" w:eastAsia="仿宋" w:cs="仿宋_GB2312"/>
                <w:color w:val="000000"/>
                <w:sz w:val="24"/>
              </w:rPr>
            </w:pPr>
            <w:r>
              <w:rPr>
                <w:rFonts w:hint="eastAsia" w:ascii="仿宋" w:hAnsi="仿宋" w:eastAsia="仿宋"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117" w:hRule="atLeast"/>
          <w:jc w:val="center"/>
        </w:trPr>
        <w:tc>
          <w:tcPr>
            <w:tcW w:w="8901" w:type="dxa"/>
            <w:gridSpan w:val="12"/>
            <w:vAlign w:val="center"/>
          </w:tcPr>
          <w:p>
            <w:pPr>
              <w:rPr>
                <w:rFonts w:ascii="仿宋" w:hAnsi="仿宋" w:eastAsia="仿宋"/>
                <w:sz w:val="24"/>
              </w:rPr>
            </w:pPr>
            <w:r>
              <w:rPr>
                <w:rFonts w:hint="eastAsia" w:ascii="仿宋" w:hAnsi="仿宋" w:eastAsia="仿宋"/>
                <w:sz w:val="24"/>
              </w:rPr>
              <w:t>部门归口业务科室意见：</w:t>
            </w: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r>
              <w:rPr>
                <w:rFonts w:hint="eastAsia" w:ascii="仿宋" w:hAnsi="仿宋" w:eastAsia="仿宋"/>
                <w:sz w:val="24"/>
              </w:rPr>
              <w:t xml:space="preserve">                                  财政部门归口业务科室负责人（签章）：</w:t>
            </w:r>
          </w:p>
          <w:p>
            <w:pPr>
              <w:autoSpaceDN w:val="0"/>
              <w:jc w:val="left"/>
              <w:textAlignment w:val="center"/>
              <w:rPr>
                <w:rFonts w:ascii="仿宋" w:hAnsi="仿宋" w:eastAsia="仿宋" w:cs="仿宋_GB2312"/>
                <w:color w:val="000000"/>
                <w:sz w:val="24"/>
              </w:rPr>
            </w:pPr>
            <w:r>
              <w:rPr>
                <w:rFonts w:hint="eastAsia" w:ascii="仿宋" w:hAnsi="仿宋" w:eastAsia="仿宋"/>
                <w:sz w:val="24"/>
              </w:rPr>
              <w:t xml:space="preserve">                                                         年    月   日</w:t>
            </w:r>
          </w:p>
        </w:tc>
      </w:tr>
    </w:tbl>
    <w:p>
      <w:pPr>
        <w:rPr>
          <w:rFonts w:ascii="仿宋" w:hAnsi="仿宋" w:eastAsia="仿宋" w:cs="仿宋_GB2312"/>
          <w:bCs/>
          <w:sz w:val="24"/>
        </w:rPr>
      </w:pPr>
      <w:r>
        <w:rPr>
          <w:rFonts w:hint="eastAsia" w:ascii="仿宋" w:hAnsi="仿宋" w:eastAsia="仿宋" w:cs="仿宋_GB2312"/>
          <w:bCs/>
          <w:sz w:val="24"/>
        </w:rPr>
        <w:t>填报人（签名）：游正来                          联系电话：8417300</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pPr>
              <w:jc w:val="center"/>
              <w:rPr>
                <w:rFonts w:cs="黑体" w:asciiTheme="minorEastAsia" w:hAnsiTheme="minorEastAsia" w:eastAsiaTheme="minorEastAsia"/>
                <w:bCs/>
                <w:sz w:val="32"/>
                <w:szCs w:val="32"/>
              </w:rPr>
            </w:pPr>
            <w:r>
              <w:rPr>
                <w:rFonts w:hint="eastAsia" w:cs="黑体" w:asciiTheme="minorEastAsia" w:hAnsiTheme="minorEastAsia" w:eastAsiaTheme="minorEastAsia"/>
                <w:bCs/>
                <w:sz w:val="32"/>
                <w:szCs w:val="32"/>
              </w:rPr>
              <w:t>五、评价报告综述（文字部分）</w:t>
            </w:r>
          </w:p>
          <w:p>
            <w:pPr>
              <w:ind w:firstLine="643" w:firstLineChars="200"/>
              <w:rPr>
                <w:rFonts w:cs="黑体" w:asciiTheme="minorEastAsia" w:hAnsiTheme="minorEastAsia" w:eastAsiaTheme="minorEastAsia"/>
                <w:b/>
                <w:bCs/>
                <w:sz w:val="32"/>
                <w:szCs w:val="32"/>
              </w:rPr>
            </w:pPr>
          </w:p>
          <w:p>
            <w:pPr>
              <w:ind w:firstLine="643" w:firstLineChars="200"/>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一、部门（单位）概况</w:t>
            </w:r>
          </w:p>
          <w:p>
            <w:pPr>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（一）部门（单位）基本情况</w:t>
            </w:r>
          </w:p>
          <w:p>
            <w:pPr>
              <w:ind w:firstLine="640" w:firstLineChars="200"/>
              <w:rPr>
                <w:rFonts w:ascii="仿宋_GB2312" w:hAnsi="宋体" w:eastAsia="仿宋_GB2312" w:cs="仿宋_GB2312"/>
                <w:bCs/>
                <w:sz w:val="32"/>
                <w:szCs w:val="32"/>
              </w:rPr>
            </w:pPr>
            <w:r>
              <w:rPr>
                <w:rFonts w:hint="eastAsia" w:ascii="仿宋" w:hAnsi="仿宋" w:eastAsia="仿宋" w:cs="仿宋_GB2312"/>
                <w:bCs/>
                <w:sz w:val="32"/>
                <w:szCs w:val="32"/>
              </w:rPr>
              <w:t>根据岳编办发</w:t>
            </w:r>
            <w:r>
              <w:rPr>
                <w:rFonts w:hint="eastAsia" w:ascii="宋体" w:hAnsi="宋体" w:cs="仿宋_GB2312"/>
                <w:bCs/>
                <w:sz w:val="32"/>
                <w:szCs w:val="32"/>
              </w:rPr>
              <w:t>﹝2019﹞23号</w:t>
            </w:r>
            <w:r>
              <w:rPr>
                <w:rFonts w:hint="eastAsia" w:ascii="仿宋_GB2312" w:hAnsi="宋体" w:eastAsia="仿宋_GB2312" w:cs="仿宋_GB2312"/>
                <w:bCs/>
                <w:sz w:val="32"/>
                <w:szCs w:val="32"/>
              </w:rPr>
              <w:t>《关于组建市自然资源和规划局云溪区分局的通知》，整合岳阳市国土资源局云溪区分局、岳阳市规划局云溪区分局以及云溪区发改、水利、林业等部门相关职责，组建岳阳市自然资源和规划局云溪区分局，为岳阳市自然资源和规划局正科级派出机构。</w:t>
            </w:r>
          </w:p>
          <w:p>
            <w:pPr>
              <w:ind w:firstLine="640" w:firstLineChars="200"/>
              <w:rPr>
                <w:rFonts w:ascii="仿宋" w:hAnsi="仿宋" w:eastAsia="仿宋" w:cs="宋体"/>
                <w:bCs/>
                <w:sz w:val="32"/>
                <w:szCs w:val="32"/>
              </w:rPr>
            </w:pPr>
            <w:r>
              <w:rPr>
                <w:rFonts w:hint="eastAsia" w:ascii="仿宋_GB2312" w:hAnsi="宋体" w:eastAsia="仿宋_GB2312" w:cs="仿宋_GB2312"/>
                <w:bCs/>
                <w:sz w:val="32"/>
                <w:szCs w:val="32"/>
              </w:rPr>
              <w:t>主管全区土地、矿产等自然资源的规划、管理、保护、利用和测绘管理工作，规范土地、矿业权和测绘市场秩序，依法</w:t>
            </w:r>
            <w:r>
              <w:rPr>
                <w:rFonts w:hint="eastAsia" w:ascii="仿宋" w:hAnsi="仿宋" w:eastAsia="仿宋" w:cs="宋体"/>
                <w:bCs/>
                <w:sz w:val="32"/>
                <w:szCs w:val="32"/>
              </w:rPr>
              <w:t>依规征收资源收益；承担审查、核发有用地预审权的建设项目用地预审意见和选址意见书、建设用地规划许可证；承担报国务、省政府、市政府审批的各类土地用途转用、征收、征用的审核、报批工作；负责土地使用权收回。负责权限内建设项目修建性详细规划和建筑方案设计文件的核实及审查；负责核发建设项目建设规划工程许可证、临时建设规划许可；负责建设项目的批后监管工作；负责组织村庄规划编制，核发乡村规划许可证。</w:t>
            </w:r>
          </w:p>
          <w:p>
            <w:pPr>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（二）部门（单位）整体支出规模、使用方向和主要内容、涉及范围等</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云溪区自然资源事务所为独立核算的二级机构，未纳入财政预算管理，属财政二级预算单位。不动产登记中心未设立财务，整体支出只统计局机关支出。</w:t>
            </w:r>
          </w:p>
          <w:p>
            <w:pPr>
              <w:ind w:firstLine="643" w:firstLineChars="200"/>
              <w:rPr>
                <w:rFonts w:ascii="仿宋" w:hAnsi="仿宋" w:eastAsia="仿宋" w:cs="黑体"/>
                <w:b/>
                <w:bCs/>
                <w:sz w:val="32"/>
                <w:szCs w:val="32"/>
              </w:rPr>
            </w:pPr>
            <w:r>
              <w:rPr>
                <w:rFonts w:hint="eastAsia" w:ascii="仿宋" w:hAnsi="仿宋" w:eastAsia="仿宋" w:cs="黑体"/>
                <w:b/>
                <w:bCs/>
                <w:sz w:val="32"/>
                <w:szCs w:val="32"/>
              </w:rPr>
              <w:t>1、决算支出总体情况</w:t>
            </w:r>
          </w:p>
          <w:p>
            <w:pPr>
              <w:ind w:firstLine="640" w:firstLineChars="200"/>
              <w:rPr>
                <w:rFonts w:ascii="仿宋" w:hAnsi="仿宋" w:eastAsia="仿宋" w:cs="黑体"/>
                <w:bCs/>
                <w:sz w:val="32"/>
                <w:szCs w:val="32"/>
              </w:rPr>
            </w:pPr>
            <w:r>
              <w:rPr>
                <w:rFonts w:hint="eastAsia" w:ascii="仿宋" w:hAnsi="仿宋" w:eastAsia="仿宋" w:cs="黑体"/>
                <w:bCs/>
                <w:sz w:val="32"/>
                <w:szCs w:val="32"/>
              </w:rPr>
              <w:t>2020年市自然资源和规划局云溪区分局机关决算支出2072.83万元，其中基本支出中使用财政拨款预算收入，其中人员支出660.01万元，占31.84%，日常公用经费783.37万元，占37.79%，项目支出629.45万元，占30.37%。</w:t>
            </w:r>
          </w:p>
          <w:p>
            <w:pPr>
              <w:ind w:firstLine="640" w:firstLineChars="200"/>
              <w:rPr>
                <w:rFonts w:ascii="仿宋" w:hAnsi="仿宋" w:eastAsia="仿宋" w:cs="黑体"/>
                <w:bCs/>
                <w:sz w:val="32"/>
                <w:szCs w:val="32"/>
              </w:rPr>
            </w:pPr>
            <w:r>
              <w:rPr>
                <w:rFonts w:hint="eastAsia" w:ascii="仿宋" w:hAnsi="仿宋" w:eastAsia="仿宋" w:cs="黑体"/>
                <w:bCs/>
                <w:sz w:val="32"/>
                <w:szCs w:val="32"/>
              </w:rPr>
              <w:t>2、资金使用方向及内容</w:t>
            </w:r>
          </w:p>
          <w:p>
            <w:pPr>
              <w:ind w:firstLine="640" w:firstLineChars="200"/>
              <w:rPr>
                <w:rFonts w:ascii="仿宋" w:hAnsi="仿宋" w:eastAsia="仿宋" w:cs="黑体"/>
                <w:bCs/>
                <w:sz w:val="32"/>
                <w:szCs w:val="32"/>
              </w:rPr>
            </w:pPr>
            <w:r>
              <w:rPr>
                <w:rFonts w:hint="eastAsia" w:ascii="仿宋" w:hAnsi="仿宋" w:eastAsia="仿宋" w:cs="黑体"/>
                <w:bCs/>
                <w:sz w:val="32"/>
                <w:szCs w:val="32"/>
              </w:rPr>
              <w:t>2020年市自然资源和规划局云溪区分局支出总计2072.83万元，主要使用方向为：基本支出755.32万元，其中人员支出517.11万元，占63.49%，日常公用经费184.21万元，占22.62%； 项目支出113.16万元，占13.89%。</w:t>
            </w:r>
          </w:p>
          <w:p>
            <w:pPr>
              <w:ind w:firstLine="640" w:firstLineChars="200"/>
              <w:rPr>
                <w:rFonts w:ascii="仿宋" w:hAnsi="仿宋" w:eastAsia="仿宋" w:cs="黑体"/>
                <w:bCs/>
                <w:sz w:val="32"/>
                <w:szCs w:val="32"/>
              </w:rPr>
            </w:pPr>
            <w:r>
              <w:rPr>
                <w:rFonts w:hint="eastAsia" w:ascii="仿宋" w:hAnsi="仿宋" w:eastAsia="仿宋" w:cs="黑体"/>
                <w:bCs/>
                <w:sz w:val="32"/>
                <w:szCs w:val="32"/>
              </w:rPr>
              <w:t>（一）基本支出具体为：工资福利支出616.51万元、商品和服务支出783.37万元、对个人和家庭的补助支出为43.5万元</w:t>
            </w:r>
          </w:p>
          <w:p>
            <w:pPr>
              <w:ind w:firstLine="640" w:firstLineChars="200"/>
              <w:rPr>
                <w:rFonts w:ascii="仿宋" w:hAnsi="仿宋" w:eastAsia="仿宋" w:cs="黑体"/>
                <w:bCs/>
                <w:sz w:val="32"/>
                <w:szCs w:val="32"/>
              </w:rPr>
            </w:pPr>
            <w:r>
              <w:rPr>
                <w:rFonts w:hint="eastAsia" w:ascii="仿宋" w:hAnsi="仿宋" w:eastAsia="仿宋" w:cs="黑体"/>
                <w:bCs/>
                <w:sz w:val="32"/>
                <w:szCs w:val="32"/>
              </w:rPr>
              <w:t>（二）项目支出具体为：第三次国土调查支出3.98万元、农村宅基地和集体建设用地房地一体颁证支出282.17万元、长江经济带云溪区段废弃露天矿山生态修复支出167万元、村镇体系村庄规划176.30万元。</w:t>
            </w:r>
          </w:p>
          <w:p>
            <w:pPr>
              <w:ind w:firstLine="643" w:firstLineChars="200"/>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二、部门（单位）整体支出管理及使用情况</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1、三公经费支出情况</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2020年三公经费支出数8.54万元，未超过财政下达控制数，其中没有发生因公出国支出，公务接待费用1.18万元、使用当年财政预算财政拨款支出1.18万元，公务用车购置及运行维护费7.36万元、使用当年财政预算拨款支出7.36万元。</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2、2020年结余资金分析</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上年结余资金743.00万元，实际支付743.00万元，资金支付率为100%。</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2020年一般预算指标合计814.48万元，实际使用额度814.48万元，资金支付率100%。</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（二）专项支出</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1、专项资金安排落实、总投入等情况分析</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2020共安排落实专项资金629.45万元。</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2、专项资金实际使用情况分析</w:t>
            </w:r>
          </w:p>
          <w:p>
            <w:pPr>
              <w:ind w:firstLine="640" w:firstLineChars="200"/>
              <w:rPr>
                <w:rFonts w:ascii="仿宋" w:hAnsi="仿宋" w:eastAsia="仿宋" w:cs="黑体"/>
                <w:bCs/>
                <w:sz w:val="32"/>
                <w:szCs w:val="32"/>
              </w:rPr>
            </w:pPr>
            <w:r>
              <w:rPr>
                <w:rFonts w:hint="eastAsia" w:ascii="仿宋" w:hAnsi="仿宋" w:eastAsia="仿宋" w:cs="仿宋_GB2312"/>
                <w:bCs/>
                <w:sz w:val="32"/>
                <w:szCs w:val="32"/>
              </w:rPr>
              <w:t>按照上级业务部门和区委区政府要求及局年度工作安排，具体为：</w:t>
            </w:r>
            <w:r>
              <w:rPr>
                <w:rFonts w:hint="eastAsia" w:ascii="仿宋" w:hAnsi="仿宋" w:eastAsia="仿宋" w:cs="黑体"/>
                <w:bCs/>
                <w:sz w:val="32"/>
                <w:szCs w:val="32"/>
              </w:rPr>
              <w:t>长江经济带云溪区段废弃露天矿山生态修复项目支出167万元，资金主要用于滨湖村、陆城村、东风村等12个露天矿点的修复施工费用，农村宅基地和集体建设用地房地一体化颁证项目支出282.17万元，第三次土地调查项目支出3.98万元，村镇体系村庄规划编制176.3万元。</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3、专项资金管理情况分析</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建立专项资金财务管理制度，我局严格遵照执行省自然资源厅和省财政厅就生态修复专项资金联合下发了专项资金管理办法，实行资金跟踪监控，对项目资金使用情况。一是实行三专管理。专户储存、专账核算、专款专用。二是健全财务机制。建立专项资金管理制度、领导责任制、会计制度和出纳制度等。制定了专项资金使用管理暂行办法，从资金取得-使用管理-用后监管都进行了规定，加强了专项资金使用过程的控制和追踪问效。会计科目设置规范，账务处理正确，入账依据充分，各种审批手续完备。三是执行预决算管理。严格按预算管理要求使用资金，严格按进度和合同拨付资金，严格执行政府采购制度；四是严格审批程序。按照“先报再审后用”的原则，由实施方提出申请，相关单位签署意见确认工程数量和资金额度，经财务股初审后，报局分管领导审批。五是全程接受财政、审计等部门的监管。严格执行国库集中支付制度，确保专款专用，严防截留、挪用资金。六是实行“三个转变”。由传统财务核算管理，向项目工程质量管理转变。将工程质量作为支付工程款的依据，只有达到质量标准的工程才支付工程款。由专项资金日常财务管理，向专项资金绩效管理的转变。为全面监督专项资金使用情况及取得的效果，规范和加强专项资金使用管理，对自然资源系统的专项资金开展绩效自评，分析存在的问题，提出解决问题的建议，提高专项资金使用效益，由被动管理，向制度管理转变。</w:t>
            </w:r>
          </w:p>
          <w:p>
            <w:pPr>
              <w:ind w:firstLine="640" w:firstLineChars="200"/>
              <w:rPr>
                <w:rFonts w:ascii="仿宋" w:hAnsi="仿宋" w:eastAsia="仿宋" w:cs="黑体"/>
                <w:bCs/>
                <w:sz w:val="32"/>
                <w:szCs w:val="32"/>
              </w:rPr>
            </w:pPr>
            <w:r>
              <w:rPr>
                <w:rFonts w:hint="eastAsia" w:ascii="仿宋" w:hAnsi="仿宋" w:eastAsia="仿宋" w:cs="黑体"/>
                <w:bCs/>
                <w:sz w:val="32"/>
                <w:szCs w:val="32"/>
              </w:rPr>
              <w:t>三、部门（单位）专项组织实施情况</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（一）专项组织情况分析</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加强专项工作组织领导。召开专题会议研究自然资源和规划专项工作。成立了由局长任组长，主管财务副局长任副组长，财务股长、相关业务股室负责人为成员的领导小组。做到组织、人员、经费、制度“四落实”。</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（二）专项管理情况分析</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1、实施服务外购。生态修复、地灾防治、村庄规划编制、地价更新、信息化建设、农村宅基地和集体建设用地房地一体颁证外业调查等工作专业性强、技术要求高，对此类专项进行采用服务外购，由专业的技术单位来实施。按政策需要招投标的做到“依法、公开、公平、公正”，需要办理政府采购的按要求及时办理政府采购。</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2、严管工程质量。对于技术性的专项工作明确要求“四个好”：即“设计好、质量好、资金管好、进度抓好”，在具体工作中，我们坚持做到：一是严把制度建设关。严格实行五制管理，即公告制、合同制、招投标制、监理制和法人责任制。全面规范了项目实施程序，明文禁止未经批准擅自变更设计。二是严把材料设备采购关。严格规范材料设备的采购程序，把好材料设备的质量，实行质量终身负责制。三是严把操作流程关。严格要求施工单位按照流程操作，监理单位按照设计和建设标准监督，</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3、严格检查督促。制定了半月一调度、一月一检查、两月一评比的工作制度，组织召开专项工作现场会，及时通报讲评，对存在的问题进行通报批评并限期整改。</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4、组织专家验收。对于技术性强的工作，工程完成后，专门组织技术专家验收，听从专家意见，实行验收专家负责制。</w:t>
            </w:r>
          </w:p>
          <w:p>
            <w:pPr>
              <w:ind w:firstLine="640" w:firstLineChars="200"/>
              <w:rPr>
                <w:rFonts w:ascii="仿宋" w:hAnsi="仿宋" w:eastAsia="仿宋" w:cs="黑体"/>
                <w:bCs/>
                <w:sz w:val="32"/>
                <w:szCs w:val="32"/>
              </w:rPr>
            </w:pPr>
            <w:r>
              <w:rPr>
                <w:rFonts w:hint="eastAsia" w:ascii="仿宋" w:hAnsi="仿宋" w:eastAsia="仿宋" w:cs="黑体"/>
                <w:bCs/>
                <w:sz w:val="32"/>
                <w:szCs w:val="32"/>
              </w:rPr>
              <w:t>四、部门（单位）整体支出绩效情况</w:t>
            </w:r>
          </w:p>
          <w:p>
            <w:pPr>
              <w:ind w:firstLine="800" w:firstLineChars="250"/>
              <w:rPr>
                <w:rFonts w:ascii="仿宋" w:hAnsi="仿宋" w:eastAsia="仿宋" w:cs="黑体"/>
                <w:bCs/>
                <w:sz w:val="32"/>
                <w:szCs w:val="32"/>
              </w:rPr>
            </w:pPr>
            <w:r>
              <w:rPr>
                <w:rFonts w:hint="eastAsia" w:ascii="仿宋" w:hAnsi="仿宋" w:eastAsia="仿宋"/>
                <w:color w:val="000000"/>
                <w:sz w:val="32"/>
                <w:szCs w:val="32"/>
              </w:rPr>
              <w:t>1、经济性量化分析</w:t>
            </w:r>
          </w:p>
          <w:p>
            <w:pPr>
              <w:ind w:firstLine="800" w:firstLineChars="250"/>
              <w:rPr>
                <w:rFonts w:ascii="仿宋" w:hAnsi="仿宋" w:eastAsia="仿宋" w:cs="黑体"/>
                <w:bCs/>
                <w:sz w:val="32"/>
                <w:szCs w:val="32"/>
              </w:rPr>
            </w:pPr>
            <w:r>
              <w:rPr>
                <w:rFonts w:hint="eastAsia" w:ascii="仿宋" w:hAnsi="仿宋" w:eastAsia="仿宋"/>
                <w:color w:val="000000"/>
                <w:sz w:val="32"/>
                <w:szCs w:val="32"/>
              </w:rPr>
              <w:t>2020年全年共计一般公共预算财政拨款814.48</w:t>
            </w:r>
            <w:r>
              <w:rPr>
                <w:rFonts w:hint="eastAsia" w:eastAsia="仿宋"/>
                <w:color w:val="000000"/>
                <w:sz w:val="32"/>
                <w:szCs w:val="32"/>
              </w:rPr>
              <w:t> </w:t>
            </w:r>
            <w:r>
              <w:rPr>
                <w:rFonts w:hint="eastAsia" w:ascii="仿宋" w:hAnsi="仿宋" w:eastAsia="仿宋"/>
                <w:color w:val="000000"/>
                <w:sz w:val="32"/>
                <w:szCs w:val="32"/>
              </w:rPr>
              <w:t xml:space="preserve"> 万元，其他收入515.35万元，全年发生支出2072.83 万元，其中基本支出1443.38万元，项目支出629.45万元，节余0万元。预算执行严格，有力保障了空间规划编制、地灾防治、基础测绘、长江经济带</w:t>
            </w:r>
            <w:r>
              <w:rPr>
                <w:rFonts w:hint="eastAsia" w:ascii="仿宋" w:hAnsi="仿宋" w:eastAsia="仿宋" w:cs="黑体"/>
                <w:bCs/>
                <w:sz w:val="32"/>
                <w:szCs w:val="32"/>
              </w:rPr>
              <w:t>云溪区段废弃露天矿山</w:t>
            </w:r>
            <w:r>
              <w:rPr>
                <w:rFonts w:hint="eastAsia" w:ascii="仿宋" w:hAnsi="仿宋" w:eastAsia="仿宋"/>
                <w:color w:val="000000"/>
                <w:sz w:val="32"/>
                <w:szCs w:val="32"/>
              </w:rPr>
              <w:t>生态修复、农村宅基地和集体土地登记颁证等重大专项工作的顺利推进。同时，“三公”经费管理进一步规范，其中：公务接待费减少2.9% ，公车运行维护费减少 6.7%。</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2、效率性量化分析</w:t>
            </w:r>
          </w:p>
          <w:p>
            <w:pPr>
              <w:spacing w:line="600" w:lineRule="exact"/>
              <w:ind w:firstLine="640" w:firstLineChars="200"/>
              <w:rPr>
                <w:rFonts w:ascii="仿宋" w:hAnsi="仿宋" w:eastAsia="仿宋" w:cs="仿宋_GB2312"/>
                <w:sz w:val="32"/>
                <w:szCs w:val="32"/>
              </w:rPr>
            </w:pPr>
            <w:r>
              <w:rPr>
                <w:rFonts w:hint="eastAsia" w:ascii="仿宋" w:hAnsi="仿宋" w:eastAsia="仿宋"/>
                <w:color w:val="000000"/>
                <w:sz w:val="32"/>
                <w:szCs w:val="32"/>
              </w:rPr>
              <w:t>（1）发展用地供应保证率100%。2020年包括</w:t>
            </w:r>
            <w:r>
              <w:rPr>
                <w:rFonts w:hint="eastAsia" w:ascii="仿宋" w:hAnsi="仿宋" w:eastAsia="仿宋" w:cs="仿宋_GB2312"/>
                <w:sz w:val="32"/>
                <w:szCs w:val="32"/>
              </w:rPr>
              <w:t>己内酰胺在内的5个用地项目全部清零，征收土地3554亩，拆迁房屋169户、面积65829平方米，位列全市前茅。</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（2）严抓违法用地处置。</w:t>
            </w:r>
            <w:r>
              <w:rPr>
                <w:rFonts w:hint="eastAsia" w:ascii="仿宋" w:hAnsi="仿宋" w:eastAsia="仿宋" w:cs="楷体_GB2312"/>
                <w:sz w:val="32"/>
                <w:szCs w:val="32"/>
              </w:rPr>
              <w:t>今年</w:t>
            </w:r>
            <w:r>
              <w:rPr>
                <w:rFonts w:hint="eastAsia" w:ascii="仿宋" w:hAnsi="仿宋" w:eastAsia="仿宋" w:cs="仿宋_GB2312"/>
                <w:sz w:val="32"/>
                <w:szCs w:val="32"/>
              </w:rPr>
              <w:t>累计接到省厅下达的违法用地处置任务14宗，总面积111.04亩（其中耕地30.34亩、永久基本农田4.1亩）。对于每月下发的违法用地处置图斑任务，我们做到立查立改，满足省厅月清到位的要求。</w:t>
            </w:r>
          </w:p>
          <w:p>
            <w:pPr>
              <w:spacing w:line="600" w:lineRule="exact"/>
              <w:ind w:firstLine="640" w:firstLineChars="200"/>
              <w:rPr>
                <w:rFonts w:ascii="仿宋" w:hAnsi="仿宋" w:eastAsia="仿宋"/>
                <w:sz w:val="32"/>
                <w:szCs w:val="32"/>
              </w:rPr>
            </w:pPr>
            <w:r>
              <w:rPr>
                <w:rFonts w:hint="eastAsia" w:ascii="仿宋" w:hAnsi="仿宋" w:eastAsia="仿宋"/>
                <w:color w:val="000000"/>
                <w:sz w:val="32"/>
                <w:szCs w:val="32"/>
              </w:rPr>
              <w:t>（3）土地出让工作有成效。</w:t>
            </w:r>
            <w:r>
              <w:rPr>
                <w:rFonts w:hint="eastAsia" w:ascii="仿宋" w:hAnsi="仿宋" w:eastAsia="仿宋"/>
                <w:sz w:val="32"/>
                <w:szCs w:val="32"/>
              </w:rPr>
              <w:t>一年来累计召开六次土地储备与出让委员会议，挂牌出让了己内酰胺产业链搬迁、道仁矶物流园加油站、云虹东方住宅小区等项目土地11宗，出让面积3106亩，出让价款9.2亿元。</w:t>
            </w:r>
          </w:p>
          <w:p>
            <w:pPr>
              <w:spacing w:line="600" w:lineRule="exact"/>
              <w:ind w:firstLine="640" w:firstLineChars="200"/>
              <w:rPr>
                <w:rFonts w:ascii="仿宋" w:hAnsi="仿宋" w:eastAsia="仿宋" w:cs="仿宋_GB2312"/>
                <w:sz w:val="32"/>
                <w:szCs w:val="32"/>
              </w:rPr>
            </w:pPr>
            <w:r>
              <w:rPr>
                <w:rFonts w:hint="eastAsia" w:ascii="仿宋" w:hAnsi="仿宋" w:eastAsia="仿宋"/>
                <w:color w:val="000000"/>
                <w:sz w:val="32"/>
                <w:szCs w:val="32"/>
              </w:rPr>
              <w:t>（4）圆满完成了“闲置土地”处置任务，</w:t>
            </w:r>
            <w:r>
              <w:rPr>
                <w:rFonts w:hint="eastAsia" w:ascii="仿宋" w:hAnsi="仿宋" w:eastAsia="仿宋" w:cs="仿宋_GB2312"/>
                <w:sz w:val="32"/>
                <w:szCs w:val="32"/>
              </w:rPr>
              <w:t>省厅共下达12宗疑似闲置土地：5宗私宅经省厅核查无闲置已销号；岳阳绿色化工产业园道路及绿化用地2宗已竣工销号；欣港东仓储物流项目、云溪区城南中学等4宗经区政府同意已收回；岳化二小改扩建项目正在开工建设，无闲置状态。省厅下发的闲置土地处置任务已全部完成。</w:t>
            </w:r>
          </w:p>
          <w:p>
            <w:pPr>
              <w:pStyle w:val="6"/>
              <w:shd w:val="clear" w:color="auto" w:fill="FFFFFF"/>
              <w:spacing w:before="0" w:beforeAutospacing="0" w:after="0" w:afterAutospacing="0" w:line="480" w:lineRule="auto"/>
              <w:ind w:firstLine="480"/>
              <w:jc w:val="both"/>
              <w:rPr>
                <w:rFonts w:ascii="仿宋" w:hAnsi="仿宋" w:eastAsia="仿宋" w:cs="仿宋_GB2312"/>
                <w:sz w:val="32"/>
                <w:szCs w:val="32"/>
              </w:rPr>
            </w:pPr>
            <w:r>
              <w:rPr>
                <w:rFonts w:hint="eastAsia" w:ascii="仿宋" w:hAnsi="仿宋" w:eastAsia="仿宋"/>
                <w:color w:val="000000"/>
                <w:sz w:val="32"/>
                <w:szCs w:val="32"/>
              </w:rPr>
              <w:t>（5）脱贫攻坚方面，</w:t>
            </w:r>
            <w:r>
              <w:rPr>
                <w:rFonts w:hint="eastAsia" w:ascii="仿宋" w:hAnsi="仿宋" w:eastAsia="仿宋" w:cs="仿宋_GB2312"/>
                <w:sz w:val="32"/>
                <w:szCs w:val="32"/>
              </w:rPr>
              <w:t>以党建促脱贫攻坚，落实结对帮扶任务，巩固提升脱贫成效，带领分局班子开展扶贫走访慰问，全年累计走访慰问120次，落实帮扶资金15万元，助力消费扶贫3.8万元，直接慰问物资和现金4万元。</w:t>
            </w:r>
          </w:p>
          <w:p>
            <w:pPr>
              <w:spacing w:line="600" w:lineRule="exact"/>
              <w:ind w:firstLine="640" w:firstLineChars="200"/>
              <w:rPr>
                <w:rFonts w:ascii="仿宋" w:hAnsi="仿宋" w:eastAsia="仿宋"/>
                <w:sz w:val="32"/>
                <w:szCs w:val="32"/>
              </w:rPr>
            </w:pPr>
            <w:r>
              <w:rPr>
                <w:rFonts w:hint="eastAsia" w:ascii="仿宋" w:hAnsi="仿宋" w:eastAsia="仿宋"/>
                <w:color w:val="000000"/>
                <w:sz w:val="32"/>
                <w:szCs w:val="32"/>
              </w:rPr>
              <w:t>（6）</w:t>
            </w:r>
            <w:r>
              <w:rPr>
                <w:rFonts w:hint="eastAsia" w:ascii="仿宋" w:hAnsi="仿宋" w:eastAsia="仿宋" w:cs="楷体_GB2312"/>
                <w:bCs/>
                <w:sz w:val="32"/>
                <w:szCs w:val="32"/>
              </w:rPr>
              <w:t>房地一体登记颁证</w:t>
            </w:r>
            <w:r>
              <w:rPr>
                <w:rFonts w:hint="eastAsia" w:ascii="仿宋" w:hAnsi="仿宋" w:eastAsia="仿宋"/>
                <w:color w:val="000000"/>
                <w:sz w:val="32"/>
                <w:szCs w:val="32"/>
              </w:rPr>
              <w:t>任务完成率100%。</w:t>
            </w:r>
            <w:r>
              <w:rPr>
                <w:rFonts w:hint="eastAsia" w:ascii="仿宋" w:hAnsi="仿宋" w:eastAsia="仿宋"/>
                <w:sz w:val="32"/>
                <w:szCs w:val="32"/>
              </w:rPr>
              <w:t>省厅确定我区2020年农村宅基地和集体建设用地登记发证任务9148宗已全部完成，完成率100%。</w:t>
            </w:r>
          </w:p>
          <w:p>
            <w:pPr>
              <w:spacing w:line="600" w:lineRule="exact"/>
              <w:ind w:firstLine="640" w:firstLineChars="200"/>
              <w:rPr>
                <w:rFonts w:ascii="仿宋" w:hAnsi="仿宋" w:eastAsia="仿宋"/>
                <w:sz w:val="32"/>
                <w:szCs w:val="32"/>
              </w:rPr>
            </w:pPr>
            <w:r>
              <w:rPr>
                <w:rFonts w:hint="eastAsia" w:ascii="仿宋" w:hAnsi="仿宋" w:eastAsia="仿宋"/>
                <w:color w:val="000000"/>
                <w:sz w:val="32"/>
                <w:szCs w:val="32"/>
              </w:rPr>
              <w:t>（7）抓好生态修复，保护自源资源。</w:t>
            </w:r>
            <w:r>
              <w:rPr>
                <w:rFonts w:hint="eastAsia" w:ascii="仿宋" w:hAnsi="仿宋" w:eastAsia="仿宋"/>
                <w:sz w:val="32"/>
                <w:szCs w:val="32"/>
              </w:rPr>
              <w:t>对长江经济带露天废弃矿山生态修复项目，按“一矿一册”要求，积极协调，共完成原云溪乡滨湖村砖厂、原道仁矶镇丁山村砖厂等12个矿点修复，总面积19.16公顷。</w:t>
            </w:r>
          </w:p>
          <w:p>
            <w:pPr>
              <w:spacing w:line="600" w:lineRule="exact"/>
              <w:ind w:firstLine="640" w:firstLineChars="200"/>
              <w:rPr>
                <w:rFonts w:ascii="仿宋" w:hAnsi="仿宋" w:eastAsia="仿宋"/>
                <w:sz w:val="32"/>
                <w:szCs w:val="32"/>
              </w:rPr>
            </w:pPr>
            <w:r>
              <w:rPr>
                <w:rFonts w:hint="eastAsia" w:ascii="仿宋" w:hAnsi="仿宋" w:eastAsia="仿宋"/>
                <w:color w:val="000000"/>
                <w:sz w:val="32"/>
                <w:szCs w:val="32"/>
              </w:rPr>
              <w:t>（8）不动产登记工作积极推行“交房即交证”。</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3、 有效性量化分析</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s="楷体_GB2312"/>
                <w:b/>
                <w:bCs/>
                <w:sz w:val="32"/>
                <w:szCs w:val="32"/>
              </w:rPr>
              <w:t>全面摸清家底。</w:t>
            </w:r>
            <w:r>
              <w:rPr>
                <w:rFonts w:hint="eastAsia" w:ascii="仿宋" w:hAnsi="仿宋" w:eastAsia="仿宋" w:cs="仿宋_GB2312"/>
                <w:sz w:val="32"/>
                <w:szCs w:val="32"/>
              </w:rPr>
              <w:t>国土调查是全面查清自然资源的重要手段</w:t>
            </w:r>
            <w:r>
              <w:rPr>
                <w:rFonts w:hint="eastAsia" w:ascii="仿宋" w:hAnsi="仿宋" w:eastAsia="仿宋" w:cs="仿宋_GB2312"/>
                <w:sz w:val="32"/>
                <w:szCs w:val="32"/>
                <w:lang w:val="zh-CN"/>
              </w:rPr>
              <w:t>。在</w:t>
            </w:r>
            <w:r>
              <w:rPr>
                <w:rFonts w:hint="eastAsia" w:ascii="仿宋" w:hAnsi="仿宋" w:eastAsia="仿宋" w:cs="仿宋_GB2312"/>
                <w:sz w:val="32"/>
                <w:szCs w:val="32"/>
              </w:rPr>
              <w:t>第三次国土调查工作中，我区精心组织，严格标准，严控质量，“三调”</w:t>
            </w:r>
            <w:r>
              <w:rPr>
                <w:rFonts w:hint="eastAsia" w:ascii="仿宋" w:hAnsi="仿宋" w:eastAsia="仿宋" w:cs="仿宋_GB2312"/>
                <w:sz w:val="32"/>
                <w:szCs w:val="32"/>
                <w:lang w:val="zh-CN"/>
              </w:rPr>
              <w:t>成果被列为我省第一批次核查成果上报国家，受到市三调办通报表扬。目前，正在开展国家级互联网</w:t>
            </w:r>
            <w:r>
              <w:rPr>
                <w:rFonts w:hint="eastAsia" w:ascii="仿宋" w:hAnsi="仿宋" w:eastAsia="仿宋" w:cs="仿宋_GB2312"/>
                <w:sz w:val="32"/>
                <w:szCs w:val="32"/>
              </w:rPr>
              <w:t>+在线核查及</w:t>
            </w:r>
            <w:r>
              <w:rPr>
                <w:rFonts w:hint="eastAsia" w:ascii="仿宋" w:hAnsi="仿宋" w:eastAsia="仿宋" w:cs="仿宋_GB2312"/>
                <w:sz w:val="32"/>
                <w:szCs w:val="32"/>
                <w:lang w:val="zh-CN"/>
              </w:rPr>
              <w:t>各专项调查，预计明年可完成三调数据成果整合启用。调查结果表明，我区调查总面积37786.52公顷，其中建设用地5669.79公顷、农用地27449.33公顷、未利用地4667.4公顷。</w:t>
            </w:r>
            <w:r>
              <w:rPr>
                <w:rFonts w:hint="eastAsia" w:ascii="仿宋" w:hAnsi="仿宋" w:eastAsia="仿宋"/>
                <w:color w:val="000000"/>
                <w:sz w:val="32"/>
                <w:szCs w:val="32"/>
              </w:rPr>
              <w:t xml:space="preserve"> 三调”工作扎实推进。9个县市区全部通过国家级内业核查，完成核查整改，并通过了省级复查，初步摸清了资源家底。</w:t>
            </w:r>
          </w:p>
          <w:p>
            <w:pPr>
              <w:spacing w:line="600" w:lineRule="exact"/>
              <w:ind w:firstLine="640" w:firstLineChars="200"/>
              <w:rPr>
                <w:rFonts w:ascii="仿宋" w:hAnsi="仿宋" w:eastAsia="仿宋" w:cs="仿宋_GB2312"/>
                <w:sz w:val="32"/>
                <w:szCs w:val="32"/>
              </w:rPr>
            </w:pPr>
            <w:r>
              <w:rPr>
                <w:rFonts w:hint="eastAsia" w:ascii="仿宋" w:hAnsi="仿宋" w:eastAsia="仿宋"/>
                <w:color w:val="000000"/>
                <w:sz w:val="32"/>
                <w:szCs w:val="32"/>
              </w:rPr>
              <w:t>（2）从优编制村庄规划，划定生态保护红线。</w:t>
            </w:r>
            <w:r>
              <w:rPr>
                <w:rFonts w:hint="eastAsia" w:ascii="仿宋" w:hAnsi="仿宋" w:eastAsia="仿宋" w:cs="仿宋_GB2312"/>
                <w:sz w:val="32"/>
                <w:szCs w:val="32"/>
              </w:rPr>
              <w:t>积极配合市局开展</w:t>
            </w:r>
            <w:r>
              <w:rPr>
                <w:rFonts w:hint="eastAsia" w:ascii="仿宋" w:hAnsi="仿宋" w:eastAsia="仿宋" w:cs="仿宋_GB2312"/>
                <w:sz w:val="32"/>
                <w:szCs w:val="32"/>
                <w:lang w:val="zh-CN"/>
              </w:rPr>
              <w:t>国土空间规划编制</w:t>
            </w:r>
            <w:r>
              <w:rPr>
                <w:rFonts w:hint="eastAsia" w:ascii="仿宋" w:hAnsi="仿宋" w:eastAsia="仿宋" w:cs="仿宋_GB2312"/>
                <w:sz w:val="32"/>
                <w:szCs w:val="32"/>
              </w:rPr>
              <w:t>，</w:t>
            </w:r>
            <w:r>
              <w:rPr>
                <w:rFonts w:hint="eastAsia" w:ascii="仿宋" w:hAnsi="仿宋" w:eastAsia="仿宋" w:cs="仿宋_GB2312"/>
                <w:sz w:val="32"/>
                <w:szCs w:val="32"/>
                <w:lang w:val="zh-CN"/>
              </w:rPr>
              <w:t>已完成国土空间开发保护现状评估报告、生态保护红线评估调整报告、城镇开发边界模拟划定报告、“双评估”和“双评价”报告</w:t>
            </w:r>
            <w:r>
              <w:rPr>
                <w:rFonts w:hint="eastAsia" w:ascii="仿宋" w:hAnsi="仿宋" w:eastAsia="仿宋" w:cs="仿宋_GB2312"/>
                <w:sz w:val="32"/>
                <w:szCs w:val="32"/>
              </w:rPr>
              <w:t>。在生态保护红线、永久基本农田、城镇开发边界三线划定工作中，</w:t>
            </w:r>
            <w:r>
              <w:rPr>
                <w:rFonts w:hint="eastAsia" w:ascii="仿宋" w:hAnsi="仿宋" w:eastAsia="仿宋" w:cs="仿宋_GB2312"/>
                <w:sz w:val="32"/>
                <w:szCs w:val="32"/>
                <w:lang w:val="zh-CN"/>
              </w:rPr>
              <w:t>就生态保护红线进行多次专题座谈与研究，将云溪区生态红线范围由150</w:t>
            </w:r>
            <w:r>
              <w:rPr>
                <w:rFonts w:hint="eastAsia" w:ascii="仿宋" w:hAnsi="仿宋" w:eastAsia="仿宋" w:cs="仿宋_GB2312"/>
                <w:sz w:val="32"/>
                <w:szCs w:val="32"/>
              </w:rPr>
              <w:t>5</w:t>
            </w:r>
            <w:r>
              <w:rPr>
                <w:rFonts w:hint="eastAsia" w:ascii="仿宋" w:hAnsi="仿宋" w:eastAsia="仿宋" w:cs="仿宋_GB2312"/>
                <w:sz w:val="32"/>
                <w:szCs w:val="32"/>
                <w:lang w:val="zh-CN"/>
              </w:rPr>
              <w:t>公顷调整为</w:t>
            </w:r>
            <w:r>
              <w:rPr>
                <w:rFonts w:hint="eastAsia" w:ascii="仿宋" w:hAnsi="仿宋" w:eastAsia="仿宋" w:cs="仿宋_GB2312"/>
                <w:sz w:val="32"/>
                <w:szCs w:val="32"/>
              </w:rPr>
              <w:t>3134</w:t>
            </w:r>
            <w:r>
              <w:rPr>
                <w:rFonts w:hint="eastAsia" w:ascii="仿宋" w:hAnsi="仿宋" w:eastAsia="仿宋" w:cs="仿宋_GB2312"/>
                <w:sz w:val="32"/>
                <w:szCs w:val="32"/>
                <w:lang w:val="zh-CN"/>
              </w:rPr>
              <w:t>公顷，</w:t>
            </w:r>
            <w:r>
              <w:rPr>
                <w:rFonts w:hint="eastAsia" w:ascii="仿宋" w:hAnsi="仿宋" w:eastAsia="仿宋"/>
                <w:sz w:val="32"/>
                <w:szCs w:val="32"/>
              </w:rPr>
              <w:t>完成了《云溪区村庄分类与布局规划》编制，启动了6个乡村规划试点，促进规范村民建房由点及面整体推进。试点包括双花清溪、友好、团结、泾港和枧冲。</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（3）信息化建设全力推进。</w:t>
            </w:r>
            <w:r>
              <w:rPr>
                <w:rFonts w:hint="eastAsia" w:ascii="仿宋" w:hAnsi="仿宋" w:eastAsia="仿宋"/>
                <w:sz w:val="32"/>
                <w:szCs w:val="32"/>
              </w:rPr>
              <w:t>我局不动产登记中心在8月份完成“岳阳市不动产登记综合平台”建设上线，具有线上线下一体、多部门联办、虚实结合的功能，</w:t>
            </w:r>
            <w:r>
              <w:rPr>
                <w:rFonts w:hint="eastAsia" w:ascii="仿宋" w:hAnsi="仿宋" w:eastAsia="仿宋"/>
                <w:color w:val="000000"/>
                <w:sz w:val="32"/>
                <w:szCs w:val="32"/>
              </w:rPr>
              <w:t>信息化水平明显提升，</w:t>
            </w:r>
            <w:r>
              <w:rPr>
                <w:rFonts w:hint="eastAsia" w:ascii="仿宋" w:hAnsi="仿宋" w:eastAsia="仿宋"/>
                <w:sz w:val="32"/>
                <w:szCs w:val="32"/>
              </w:rPr>
              <w:t>能为群众提供更加便捷的登记和交易服务</w:t>
            </w:r>
            <w:r>
              <w:rPr>
                <w:rFonts w:hint="eastAsia" w:ascii="仿宋" w:hAnsi="仿宋" w:eastAsia="仿宋"/>
                <w:color w:val="000000"/>
                <w:sz w:val="32"/>
                <w:szCs w:val="32"/>
              </w:rPr>
              <w:t>。</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4、可持续性分析</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（1）生态修复整改落实到位完成长江经济带城露天矿山修复，确保了绿水青山就是金山银山，生态平衡持续，造福子孙后代。</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（2）地质灾害防治方面，通过地质灾害预警机制，有效预灾、防灾、减灾，防患于未然，保护人民群众生命财产安全。</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（3）社会公众或服务对象满意度较大提高。主要表现依申请公开回复率100%；议案回复满意率达100%；信访案件办结率100%；服务对象满意率达90%；农民满意率达90%。</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五、存在的主要问题</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1、基本支出预算编制科学性有待提高，不利于实际执行。</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财政批复的一般商品和服务支出包括机关运行办公费、水电费等根据人头标准，不能满足实际工作需要，而其他经费的支出可执行性也不强，预算执行力度需进一步加强。</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2、相关业务工作财政未纳入财政项目经费预算，造成挤占机关日常公用经费预算，使日常公用经费预算数与实际支出数有差距。</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3、项目后期维护保障不足。项目后续维护缺乏制度保障，无相关经费安排，不利于项目的维护和持续发挥效益。</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六、改进措施和有关建议</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1.合理编制年度预算。参考上年度预算执行情况和本年度收支预测，制订科学合理的预算标准，将预算支出项目细化，遵循实事求是的原则，进一步提高预算的可执行性。</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2.进一步加强资产管理。应对账面固定资产实物进行核查，对历年应收、应付呆账等进行清理、处置，调整账务，夯实资产资金管理基础，摸清资产家底，以最大限度利用好现有资产。</w:t>
            </w:r>
          </w:p>
          <w:p>
            <w:pPr>
              <w:pStyle w:val="6"/>
              <w:shd w:val="clear" w:color="auto" w:fill="FFFFFF"/>
              <w:spacing w:before="0" w:beforeAutospacing="0" w:after="0" w:afterAutospacing="0" w:line="480" w:lineRule="auto"/>
              <w:ind w:firstLine="480"/>
              <w:jc w:val="both"/>
              <w:rPr>
                <w:rFonts w:ascii="仿宋" w:hAnsi="仿宋" w:eastAsia="仿宋"/>
                <w:color w:val="000000"/>
                <w:sz w:val="32"/>
                <w:szCs w:val="32"/>
              </w:rPr>
            </w:pPr>
            <w:r>
              <w:rPr>
                <w:rFonts w:hint="eastAsia" w:ascii="仿宋" w:hAnsi="仿宋" w:eastAsia="仿宋"/>
                <w:color w:val="000000"/>
                <w:sz w:val="32"/>
                <w:szCs w:val="32"/>
              </w:rPr>
              <w:t>3.进一步完善项目监管机制。项目立项须严格遵循一切从实际出发的原则，结合工作的必要性、以维护人民群众利益为落脚点。将项目做实，环环守规，节节有矩。项目前期加强预算审核、严格执行政府采购程序，项目中监管实施到位，确保项目的质量效益。</w:t>
            </w:r>
          </w:p>
          <w:p>
            <w:pPr>
              <w:rPr>
                <w:rFonts w:ascii="仿宋" w:hAnsi="仿宋" w:eastAsia="仿宋"/>
                <w:bCs/>
                <w:szCs w:val="21"/>
              </w:rPr>
            </w:pPr>
          </w:p>
        </w:tc>
      </w:tr>
    </w:tbl>
    <w:p>
      <w:pPr>
        <w:rPr>
          <w:rFonts w:ascii="仿宋" w:hAnsi="仿宋" w:eastAsia="仿宋"/>
          <w:bCs/>
          <w:szCs w:val="21"/>
        </w:rPr>
      </w:pPr>
    </w:p>
    <w:p>
      <w:pPr>
        <w:rPr>
          <w:rFonts w:ascii="仿宋" w:hAnsi="仿宋" w:eastAsia="仿宋"/>
          <w:szCs w:val="21"/>
        </w:rPr>
      </w:pPr>
      <w:r>
        <w:rPr>
          <w:rFonts w:ascii="仿宋" w:hAnsi="仿宋" w:eastAsia="仿宋"/>
          <w:bCs/>
          <w:szCs w:val="21"/>
        </w:rPr>
        <w:br w:type="page"/>
      </w:r>
    </w:p>
    <w:p>
      <w:pPr>
        <w:spacing w:line="348" w:lineRule="auto"/>
        <w:rPr>
          <w:rFonts w:ascii="黑体" w:hAnsi="黑体" w:eastAsia="黑体" w:cs="黑体"/>
          <w:bCs/>
          <w:sz w:val="32"/>
          <w:szCs w:val="32"/>
        </w:rPr>
      </w:pPr>
      <w:r>
        <w:rPr>
          <w:rFonts w:hint="eastAsia" w:ascii="黑体" w:hAnsi="黑体" w:eastAsia="黑体" w:cs="黑体"/>
          <w:bCs/>
          <w:sz w:val="32"/>
          <w:szCs w:val="32"/>
        </w:rPr>
        <w:t>附件2-2</w:t>
      </w:r>
    </w:p>
    <w:p>
      <w:pPr>
        <w:spacing w:line="348" w:lineRule="auto"/>
        <w:rPr>
          <w:rFonts w:eastAsia="黑体" w:cs="黑体"/>
          <w:bCs/>
          <w:sz w:val="32"/>
          <w:szCs w:val="32"/>
        </w:rPr>
      </w:pPr>
    </w:p>
    <w:p>
      <w:pPr>
        <w:spacing w:beforeLines="50" w:line="348" w:lineRule="auto"/>
        <w:jc w:val="center"/>
        <w:rPr>
          <w:rFonts w:eastAsia="方正小标宋简体"/>
          <w:bCs/>
          <w:sz w:val="44"/>
          <w:szCs w:val="44"/>
        </w:rPr>
      </w:pPr>
      <w:r>
        <w:rPr>
          <w:rFonts w:hint="eastAsia" w:eastAsia="方正小标宋简体"/>
          <w:bCs/>
          <w:sz w:val="44"/>
          <w:szCs w:val="44"/>
        </w:rPr>
        <w:t>岳阳市财政支出绩效评价自评报告</w:t>
      </w:r>
    </w:p>
    <w:p>
      <w:pPr>
        <w:rPr>
          <w:rFonts w:eastAsia="仿宋_GB2312"/>
          <w:b/>
          <w:sz w:val="32"/>
        </w:rPr>
      </w:pPr>
    </w:p>
    <w:p>
      <w:pPr>
        <w:rPr>
          <w:rFonts w:eastAsia="仿宋_GB2312"/>
          <w:b/>
          <w:sz w:val="32"/>
        </w:rPr>
      </w:pPr>
    </w:p>
    <w:p>
      <w:pPr>
        <w:spacing w:line="760" w:lineRule="exact"/>
        <w:ind w:firstLine="470" w:firstLineChars="147"/>
        <w:rPr>
          <w:rFonts w:eastAsia="仿宋_GB2312"/>
          <w:sz w:val="32"/>
          <w:szCs w:val="32"/>
        </w:rPr>
      </w:pPr>
      <w:r>
        <w:rPr>
          <w:rFonts w:hint="eastAsia" w:eastAsia="仿宋_GB2312"/>
          <w:sz w:val="32"/>
          <w:szCs w:val="32"/>
        </w:rPr>
        <w:t>评价类型：项目实施过程评价□   项目完成结果评价</w:t>
      </w:r>
      <w:r>
        <w:rPr>
          <w:rFonts w:hint="eastAsia" w:eastAsia="仿宋_GB2312"/>
          <w:sz w:val="32"/>
          <w:szCs w:val="32"/>
        </w:rPr>
        <w:sym w:font="Wingdings 2" w:char="0052"/>
      </w:r>
    </w:p>
    <w:p>
      <w:pPr>
        <w:spacing w:beforeLines="50" w:line="760" w:lineRule="exact"/>
        <w:ind w:left="2093" w:leftChars="200" w:hanging="1673" w:hangingChars="523"/>
        <w:rPr>
          <w:rFonts w:eastAsia="仿宋_GB2312"/>
          <w:sz w:val="32"/>
          <w:u w:val="single"/>
        </w:rPr>
      </w:pPr>
      <w:r>
        <w:rPr>
          <w:rFonts w:hint="eastAsia" w:eastAsia="仿宋_GB2312"/>
          <w:sz w:val="32"/>
        </w:rPr>
        <w:t>项目名称：</w:t>
      </w:r>
      <w:r>
        <w:rPr>
          <w:rFonts w:hint="eastAsia" w:eastAsia="仿宋_GB2312"/>
          <w:sz w:val="32"/>
          <w:u w:val="single"/>
        </w:rPr>
        <w:t>长江经济带湖南省岳阳市（云溪区段）废弃露天矿山生态修复项目</w:t>
      </w:r>
    </w:p>
    <w:p>
      <w:pPr>
        <w:spacing w:beforeLines="50" w:line="760" w:lineRule="exact"/>
        <w:ind w:firstLine="480" w:firstLineChars="150"/>
        <w:rPr>
          <w:rFonts w:eastAsia="仿宋_GB2312"/>
          <w:sz w:val="32"/>
        </w:rPr>
      </w:pPr>
      <w:r>
        <w:rPr>
          <w:rFonts w:hint="eastAsia" w:eastAsia="仿宋_GB2312"/>
          <w:sz w:val="32"/>
        </w:rPr>
        <w:t>项目单位：</w:t>
      </w:r>
      <w:r>
        <w:rPr>
          <w:rFonts w:hint="eastAsia" w:eastAsia="仿宋_GB2312"/>
          <w:sz w:val="32"/>
          <w:u w:val="single"/>
        </w:rPr>
        <w:t>核工业岳阳建设工程有限公司</w:t>
      </w:r>
    </w:p>
    <w:p>
      <w:pPr>
        <w:spacing w:beforeLines="50" w:line="760" w:lineRule="exact"/>
        <w:ind w:firstLine="480" w:firstLineChars="150"/>
        <w:rPr>
          <w:rFonts w:eastAsia="仿宋_GB2312"/>
          <w:sz w:val="32"/>
          <w:u w:val="single"/>
        </w:rPr>
      </w:pPr>
      <w:r>
        <w:rPr>
          <w:rFonts w:hint="eastAsia" w:eastAsia="仿宋_GB2312"/>
          <w:sz w:val="32"/>
        </w:rPr>
        <w:t>主管部门：</w:t>
      </w:r>
      <w:r>
        <w:rPr>
          <w:rFonts w:hint="eastAsia" w:eastAsia="仿宋_GB2312"/>
          <w:sz w:val="32"/>
          <w:u w:val="single"/>
        </w:rPr>
        <w:t>岳阳市云溪区自然资源局</w:t>
      </w:r>
    </w:p>
    <w:p>
      <w:pPr>
        <w:spacing w:beforeLines="50" w:line="760" w:lineRule="exact"/>
        <w:ind w:firstLine="480" w:firstLineChars="150"/>
        <w:rPr>
          <w:rFonts w:eastAsia="仿宋_GB2312"/>
          <w:sz w:val="32"/>
        </w:rPr>
      </w:pPr>
      <w:r>
        <w:rPr>
          <w:rFonts w:hint="eastAsia" w:eastAsia="仿宋_GB2312"/>
          <w:sz w:val="32"/>
        </w:rPr>
        <w:t>评价方式：</w:t>
      </w:r>
      <w:r>
        <w:rPr>
          <w:rFonts w:hint="eastAsia" w:eastAsia="仿宋_GB2312"/>
          <w:sz w:val="28"/>
          <w:szCs w:val="28"/>
        </w:rPr>
        <w:t>部门（单位）绩效自评</w:t>
      </w:r>
    </w:p>
    <w:p>
      <w:pPr>
        <w:spacing w:beforeLines="50" w:line="760" w:lineRule="exact"/>
        <w:ind w:firstLine="480" w:firstLineChars="150"/>
        <w:rPr>
          <w:rFonts w:eastAsia="仿宋_GB2312"/>
          <w:sz w:val="28"/>
          <w:szCs w:val="28"/>
        </w:rPr>
      </w:pPr>
      <w:r>
        <w:rPr>
          <w:rFonts w:hint="eastAsia" w:eastAsia="仿宋_GB2312"/>
          <w:sz w:val="32"/>
          <w:szCs w:val="32"/>
        </w:rPr>
        <w:t>评价机构：</w:t>
      </w:r>
      <w:r>
        <w:rPr>
          <w:rFonts w:hint="eastAsia" w:eastAsia="仿宋_GB2312"/>
          <w:sz w:val="28"/>
          <w:szCs w:val="28"/>
        </w:rPr>
        <w:t xml:space="preserve">部门（单位）评价组   </w:t>
      </w:r>
    </w:p>
    <w:p>
      <w:pPr>
        <w:spacing w:beforeLines="50" w:line="760" w:lineRule="exact"/>
        <w:ind w:firstLine="420" w:firstLineChars="150"/>
        <w:rPr>
          <w:rFonts w:eastAsia="仿宋_GB2312"/>
          <w:sz w:val="28"/>
          <w:szCs w:val="28"/>
        </w:rPr>
      </w:pPr>
    </w:p>
    <w:p>
      <w:pPr>
        <w:spacing w:beforeLines="50" w:line="348" w:lineRule="auto"/>
        <w:ind w:firstLine="420" w:firstLineChars="150"/>
        <w:rPr>
          <w:rFonts w:eastAsia="仿宋_GB2312"/>
          <w:sz w:val="28"/>
          <w:szCs w:val="28"/>
        </w:rPr>
      </w:pPr>
    </w:p>
    <w:p>
      <w:pPr>
        <w:spacing w:beforeLines="50" w:line="348" w:lineRule="auto"/>
        <w:ind w:firstLine="420" w:firstLineChars="150"/>
        <w:rPr>
          <w:rFonts w:eastAsia="仿宋_GB2312"/>
          <w:sz w:val="28"/>
          <w:szCs w:val="28"/>
        </w:rPr>
      </w:pPr>
    </w:p>
    <w:p>
      <w:pPr>
        <w:spacing w:beforeLines="50" w:line="120" w:lineRule="exact"/>
        <w:ind w:firstLine="420" w:firstLineChars="150"/>
        <w:rPr>
          <w:rFonts w:eastAsia="仿宋_GB2312"/>
          <w:sz w:val="28"/>
          <w:szCs w:val="28"/>
        </w:rPr>
      </w:pPr>
    </w:p>
    <w:p>
      <w:pPr>
        <w:spacing w:line="348" w:lineRule="auto"/>
        <w:ind w:firstLine="2240" w:firstLineChars="700"/>
        <w:rPr>
          <w:rFonts w:eastAsia="仿宋_GB2312"/>
          <w:sz w:val="32"/>
        </w:rPr>
      </w:pPr>
      <w:r>
        <w:rPr>
          <w:rFonts w:hint="eastAsia" w:eastAsia="仿宋_GB2312"/>
          <w:sz w:val="32"/>
        </w:rPr>
        <w:t>报告日期：2021 年6 月11日</w:t>
      </w:r>
    </w:p>
    <w:p>
      <w:pPr>
        <w:spacing w:line="348" w:lineRule="auto"/>
        <w:jc w:val="center"/>
        <w:rPr>
          <w:rFonts w:eastAsia="仿宋_GB2312"/>
          <w:sz w:val="32"/>
        </w:rPr>
      </w:pPr>
      <w:r>
        <w:rPr>
          <w:rFonts w:hint="eastAsia" w:eastAsia="仿宋_GB2312"/>
          <w:sz w:val="32"/>
        </w:rPr>
        <w:t>岳阳市财政局（制）</w:t>
      </w:r>
    </w:p>
    <w:p>
      <w:pPr>
        <w:spacing w:line="100" w:lineRule="exact"/>
        <w:jc w:val="center"/>
        <w:rPr>
          <w:rFonts w:eastAsia="仿宋_GB2312"/>
          <w:sz w:val="32"/>
        </w:rPr>
      </w:pPr>
    </w:p>
    <w:p>
      <w:pPr>
        <w:spacing w:line="100" w:lineRule="exact"/>
        <w:jc w:val="center"/>
        <w:rPr>
          <w:rFonts w:eastAsia="仿宋_GB2312"/>
          <w:sz w:val="32"/>
        </w:rPr>
      </w:pPr>
    </w:p>
    <w:p>
      <w:pPr>
        <w:spacing w:line="100" w:lineRule="exact"/>
        <w:jc w:val="center"/>
        <w:rPr>
          <w:rFonts w:eastAsia="仿宋_GB2312"/>
          <w:sz w:val="32"/>
        </w:rPr>
      </w:pPr>
    </w:p>
    <w:tbl>
      <w:tblPr>
        <w:tblStyle w:val="7"/>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89"/>
        <w:gridCol w:w="602"/>
        <w:gridCol w:w="118"/>
        <w:gridCol w:w="1517"/>
        <w:gridCol w:w="307"/>
        <w:gridCol w:w="696"/>
        <w:gridCol w:w="562"/>
        <w:gridCol w:w="785"/>
        <w:gridCol w:w="297"/>
        <w:gridCol w:w="720"/>
        <w:gridCol w:w="162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582" w:type="dxa"/>
            <w:gridSpan w:val="13"/>
            <w:vAlign w:val="center"/>
          </w:tcPr>
          <w:p>
            <w:pPr>
              <w:jc w:val="center"/>
              <w:rPr>
                <w:rFonts w:eastAsia="仿宋_GB2312"/>
                <w:b/>
                <w:sz w:val="24"/>
              </w:rPr>
            </w:pPr>
            <w:r>
              <w:rPr>
                <w:rFonts w:hint="eastAsia" w:eastAsia="仿宋_GB2312"/>
                <w:b/>
                <w:sz w:val="24"/>
              </w:rPr>
              <w:t>一、项 目 基 本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vAlign w:val="center"/>
          </w:tcPr>
          <w:p>
            <w:pPr>
              <w:rPr>
                <w:rFonts w:eastAsia="仿宋_GB2312"/>
                <w:sz w:val="24"/>
              </w:rPr>
            </w:pPr>
            <w:r>
              <w:rPr>
                <w:rFonts w:hint="eastAsia" w:eastAsia="仿宋_GB2312"/>
                <w:sz w:val="24"/>
              </w:rPr>
              <w:t>项目负责人</w:t>
            </w:r>
          </w:p>
        </w:tc>
        <w:tc>
          <w:tcPr>
            <w:tcW w:w="3240" w:type="dxa"/>
            <w:gridSpan w:val="5"/>
            <w:vAlign w:val="center"/>
          </w:tcPr>
          <w:p>
            <w:pPr>
              <w:rPr>
                <w:rFonts w:eastAsia="仿宋_GB2312"/>
                <w:sz w:val="24"/>
              </w:rPr>
            </w:pPr>
            <w:r>
              <w:rPr>
                <w:rFonts w:hint="eastAsia" w:eastAsia="仿宋_GB2312"/>
                <w:sz w:val="24"/>
              </w:rPr>
              <w:t>刘巍</w:t>
            </w:r>
          </w:p>
        </w:tc>
        <w:tc>
          <w:tcPr>
            <w:tcW w:w="1347" w:type="dxa"/>
            <w:gridSpan w:val="2"/>
            <w:vAlign w:val="center"/>
          </w:tcPr>
          <w:p>
            <w:pPr>
              <w:rPr>
                <w:rFonts w:eastAsia="仿宋_GB2312"/>
                <w:sz w:val="24"/>
              </w:rPr>
            </w:pPr>
            <w:r>
              <w:rPr>
                <w:rFonts w:hint="eastAsia" w:eastAsia="仿宋_GB2312"/>
                <w:sz w:val="24"/>
              </w:rPr>
              <w:t>联系电话</w:t>
            </w:r>
          </w:p>
        </w:tc>
        <w:tc>
          <w:tcPr>
            <w:tcW w:w="3333" w:type="dxa"/>
            <w:gridSpan w:val="4"/>
            <w:vAlign w:val="center"/>
          </w:tcPr>
          <w:p>
            <w:pPr>
              <w:rPr>
                <w:rFonts w:eastAsia="仿宋_GB2312"/>
                <w:sz w:val="24"/>
              </w:rPr>
            </w:pPr>
            <w:r>
              <w:rPr>
                <w:rFonts w:hint="eastAsia" w:eastAsia="仿宋_GB2312"/>
                <w:sz w:val="24"/>
              </w:rPr>
              <w:t>13707307556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vAlign w:val="center"/>
          </w:tcPr>
          <w:p>
            <w:pPr>
              <w:rPr>
                <w:rFonts w:eastAsia="仿宋_GB2312"/>
                <w:sz w:val="24"/>
              </w:rPr>
            </w:pPr>
            <w:r>
              <w:rPr>
                <w:rFonts w:hint="eastAsia" w:eastAsia="仿宋_GB2312"/>
                <w:sz w:val="24"/>
              </w:rPr>
              <w:t>项目地址</w:t>
            </w:r>
          </w:p>
        </w:tc>
        <w:tc>
          <w:tcPr>
            <w:tcW w:w="3240" w:type="dxa"/>
            <w:gridSpan w:val="5"/>
            <w:vAlign w:val="center"/>
          </w:tcPr>
          <w:p>
            <w:pPr>
              <w:rPr>
                <w:rFonts w:eastAsia="仿宋_GB2312"/>
                <w:sz w:val="24"/>
              </w:rPr>
            </w:pPr>
            <w:r>
              <w:rPr>
                <w:rFonts w:hint="eastAsia" w:eastAsia="仿宋_GB2312"/>
                <w:sz w:val="24"/>
              </w:rPr>
              <w:t>岳阳市云溪区各镇（街道）</w:t>
            </w:r>
          </w:p>
        </w:tc>
        <w:tc>
          <w:tcPr>
            <w:tcW w:w="1347" w:type="dxa"/>
            <w:gridSpan w:val="2"/>
            <w:vAlign w:val="center"/>
          </w:tcPr>
          <w:p>
            <w:pPr>
              <w:rPr>
                <w:rFonts w:eastAsia="仿宋_GB2312"/>
                <w:sz w:val="24"/>
              </w:rPr>
            </w:pPr>
            <w:r>
              <w:rPr>
                <w:rFonts w:hint="eastAsia" w:eastAsia="仿宋_GB2312"/>
                <w:sz w:val="24"/>
              </w:rPr>
              <w:t>邮  编</w:t>
            </w:r>
          </w:p>
        </w:tc>
        <w:tc>
          <w:tcPr>
            <w:tcW w:w="3333" w:type="dxa"/>
            <w:gridSpan w:val="4"/>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vAlign w:val="center"/>
          </w:tcPr>
          <w:p>
            <w:pPr>
              <w:rPr>
                <w:rFonts w:eastAsia="仿宋_GB2312"/>
                <w:sz w:val="24"/>
              </w:rPr>
            </w:pPr>
            <w:r>
              <w:rPr>
                <w:rFonts w:hint="eastAsia" w:eastAsia="仿宋_GB2312"/>
                <w:sz w:val="24"/>
              </w:rPr>
              <w:t>项目起止时间</w:t>
            </w:r>
          </w:p>
        </w:tc>
        <w:tc>
          <w:tcPr>
            <w:tcW w:w="7920" w:type="dxa"/>
            <w:gridSpan w:val="11"/>
            <w:vAlign w:val="center"/>
          </w:tcPr>
          <w:p>
            <w:pPr>
              <w:rPr>
                <w:rFonts w:eastAsia="仿宋_GB2312"/>
                <w:sz w:val="24"/>
              </w:rPr>
            </w:pPr>
            <w:r>
              <w:rPr>
                <w:rFonts w:hint="eastAsia" w:eastAsia="仿宋_GB2312"/>
                <w:sz w:val="24"/>
              </w:rPr>
              <w:t>2020年8月20日起至2020年10月20日止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662"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计划安排资金</w:t>
            </w:r>
          </w:p>
          <w:p>
            <w:pPr>
              <w:spacing w:line="360" w:lineRule="exact"/>
              <w:jc w:val="center"/>
              <w:rPr>
                <w:rFonts w:eastAsia="仿宋_GB2312"/>
                <w:sz w:val="24"/>
              </w:rPr>
            </w:pPr>
            <w:r>
              <w:rPr>
                <w:rFonts w:hint="eastAsia" w:eastAsia="仿宋_GB2312"/>
                <w:sz w:val="24"/>
              </w:rPr>
              <w:t>（万元）</w:t>
            </w:r>
          </w:p>
        </w:tc>
        <w:tc>
          <w:tcPr>
            <w:tcW w:w="720"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400.528789</w:t>
            </w:r>
          </w:p>
        </w:tc>
        <w:tc>
          <w:tcPr>
            <w:tcW w:w="1517" w:type="dxa"/>
            <w:tcBorders>
              <w:bottom w:val="single" w:color="auto" w:sz="4" w:space="0"/>
            </w:tcBorders>
            <w:vAlign w:val="center"/>
          </w:tcPr>
          <w:p>
            <w:pPr>
              <w:spacing w:line="360" w:lineRule="exact"/>
              <w:jc w:val="center"/>
              <w:rPr>
                <w:rFonts w:eastAsia="仿宋_GB2312"/>
                <w:sz w:val="24"/>
              </w:rPr>
            </w:pPr>
            <w:r>
              <w:rPr>
                <w:rFonts w:hint="eastAsia" w:eastAsia="仿宋_GB2312"/>
                <w:sz w:val="24"/>
              </w:rPr>
              <w:t>实际到位资金</w:t>
            </w:r>
          </w:p>
          <w:p>
            <w:pPr>
              <w:spacing w:line="360" w:lineRule="exact"/>
              <w:jc w:val="center"/>
              <w:rPr>
                <w:rFonts w:eastAsia="仿宋_GB2312"/>
                <w:sz w:val="24"/>
              </w:rPr>
            </w:pPr>
            <w:r>
              <w:rPr>
                <w:rFonts w:hint="eastAsia" w:eastAsia="仿宋_GB2312"/>
                <w:sz w:val="24"/>
              </w:rPr>
              <w:t>（万元）</w:t>
            </w:r>
          </w:p>
        </w:tc>
        <w:tc>
          <w:tcPr>
            <w:tcW w:w="1003"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297</w:t>
            </w:r>
          </w:p>
        </w:tc>
        <w:tc>
          <w:tcPr>
            <w:tcW w:w="1644"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实际支出</w:t>
            </w:r>
          </w:p>
          <w:p>
            <w:pPr>
              <w:spacing w:line="360" w:lineRule="exact"/>
              <w:jc w:val="center"/>
              <w:rPr>
                <w:rFonts w:eastAsia="仿宋_GB2312"/>
                <w:sz w:val="24"/>
              </w:rPr>
            </w:pPr>
            <w:r>
              <w:rPr>
                <w:rFonts w:hint="eastAsia" w:eastAsia="仿宋_GB2312"/>
                <w:sz w:val="24"/>
              </w:rPr>
              <w:t>（万元）</w:t>
            </w:r>
          </w:p>
        </w:tc>
        <w:tc>
          <w:tcPr>
            <w:tcW w:w="720" w:type="dxa"/>
            <w:tcBorders>
              <w:bottom w:val="single" w:color="auto" w:sz="4" w:space="0"/>
            </w:tcBorders>
            <w:vAlign w:val="center"/>
          </w:tcPr>
          <w:p>
            <w:pPr>
              <w:spacing w:line="400" w:lineRule="exact"/>
              <w:jc w:val="center"/>
              <w:rPr>
                <w:rFonts w:eastAsia="仿宋_GB2312"/>
                <w:sz w:val="24"/>
              </w:rPr>
            </w:pPr>
            <w:r>
              <w:rPr>
                <w:rFonts w:hint="eastAsia" w:eastAsia="仿宋_GB2312"/>
                <w:sz w:val="24"/>
              </w:rPr>
              <w:t>297</w:t>
            </w:r>
          </w:p>
        </w:tc>
        <w:tc>
          <w:tcPr>
            <w:tcW w:w="1620" w:type="dxa"/>
            <w:tcBorders>
              <w:bottom w:val="single" w:color="auto" w:sz="4" w:space="0"/>
            </w:tcBorders>
            <w:vAlign w:val="center"/>
          </w:tcPr>
          <w:p>
            <w:pPr>
              <w:spacing w:line="400" w:lineRule="exact"/>
              <w:jc w:val="center"/>
              <w:rPr>
                <w:rFonts w:eastAsia="仿宋_GB2312"/>
                <w:sz w:val="24"/>
              </w:rPr>
            </w:pPr>
            <w:r>
              <w:rPr>
                <w:rFonts w:hint="eastAsia" w:eastAsia="仿宋_GB2312"/>
                <w:sz w:val="24"/>
              </w:rPr>
              <w:t>结余</w:t>
            </w:r>
          </w:p>
          <w:p>
            <w:pPr>
              <w:spacing w:line="400" w:lineRule="exact"/>
              <w:jc w:val="center"/>
              <w:rPr>
                <w:rFonts w:eastAsia="仿宋_GB2312"/>
                <w:sz w:val="24"/>
              </w:rPr>
            </w:pPr>
            <w:r>
              <w:rPr>
                <w:rFonts w:hint="eastAsia" w:eastAsia="仿宋_GB2312"/>
                <w:sz w:val="24"/>
              </w:rPr>
              <w:t>（万元）</w:t>
            </w:r>
          </w:p>
        </w:tc>
        <w:tc>
          <w:tcPr>
            <w:tcW w:w="696" w:type="dxa"/>
            <w:tcBorders>
              <w:bottom w:val="single" w:color="auto" w:sz="4" w:space="0"/>
            </w:tcBorders>
            <w:vAlign w:val="center"/>
          </w:tcPr>
          <w:p>
            <w:pPr>
              <w:jc w:val="center"/>
              <w:rPr>
                <w:rFonts w:eastAsia="仿宋_GB2312"/>
                <w:b/>
                <w:sz w:val="24"/>
              </w:rPr>
            </w:pPr>
            <w:r>
              <w:rPr>
                <w:rFonts w:hint="eastAsia" w:eastAsia="仿宋_GB2312"/>
                <w:b/>
                <w:sz w:val="24"/>
              </w:rPr>
              <w:t>103.528789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eastAsia="仿宋_GB2312"/>
                <w:spacing w:val="-10"/>
                <w:sz w:val="24"/>
              </w:rPr>
            </w:pPr>
            <w:r>
              <w:rPr>
                <w:rFonts w:hint="eastAsia" w:eastAsia="仿宋_GB2312"/>
                <w:spacing w:val="-10"/>
                <w:sz w:val="24"/>
              </w:rPr>
              <w:t>其中：中央财政</w:t>
            </w:r>
          </w:p>
        </w:tc>
        <w:tc>
          <w:tcPr>
            <w:tcW w:w="720" w:type="dxa"/>
            <w:gridSpan w:val="2"/>
            <w:tcBorders>
              <w:bottom w:val="single" w:color="auto" w:sz="4" w:space="0"/>
            </w:tcBorders>
            <w:vAlign w:val="center"/>
          </w:tcPr>
          <w:p>
            <w:pPr>
              <w:rPr>
                <w:rFonts w:eastAsia="仿宋_GB2312"/>
                <w:spacing w:val="-6"/>
                <w:sz w:val="24"/>
              </w:rPr>
            </w:pPr>
            <w:r>
              <w:rPr>
                <w:rFonts w:hint="eastAsia" w:eastAsia="仿宋_GB2312"/>
                <w:spacing w:val="-6"/>
                <w:sz w:val="24"/>
              </w:rPr>
              <w:t>270.528789</w:t>
            </w:r>
          </w:p>
        </w:tc>
        <w:tc>
          <w:tcPr>
            <w:tcW w:w="1517" w:type="dxa"/>
            <w:tcBorders>
              <w:bottom w:val="single" w:color="auto" w:sz="4" w:space="0"/>
            </w:tcBorders>
            <w:vAlign w:val="center"/>
          </w:tcPr>
          <w:p>
            <w:pPr>
              <w:rPr>
                <w:rFonts w:eastAsia="仿宋_GB2312"/>
                <w:spacing w:val="-6"/>
                <w:sz w:val="24"/>
              </w:rPr>
            </w:pPr>
            <w:r>
              <w:rPr>
                <w:rFonts w:hint="eastAsia" w:eastAsia="仿宋_GB2312"/>
                <w:spacing w:val="-6"/>
                <w:sz w:val="24"/>
              </w:rPr>
              <w:t>其中：中央财政</w:t>
            </w:r>
          </w:p>
        </w:tc>
        <w:tc>
          <w:tcPr>
            <w:tcW w:w="1003" w:type="dxa"/>
            <w:gridSpan w:val="2"/>
            <w:tcBorders>
              <w:bottom w:val="single" w:color="auto" w:sz="4" w:space="0"/>
            </w:tcBorders>
            <w:vAlign w:val="center"/>
          </w:tcPr>
          <w:p>
            <w:pPr>
              <w:jc w:val="center"/>
              <w:rPr>
                <w:rFonts w:eastAsia="仿宋_GB2312"/>
                <w:spacing w:val="-6"/>
                <w:sz w:val="24"/>
              </w:rPr>
            </w:pPr>
            <w:r>
              <w:rPr>
                <w:rFonts w:hint="eastAsia" w:eastAsia="仿宋_GB2312"/>
                <w:spacing w:val="-6"/>
                <w:sz w:val="24"/>
              </w:rPr>
              <w:t>167</w:t>
            </w:r>
          </w:p>
        </w:tc>
        <w:tc>
          <w:tcPr>
            <w:tcW w:w="1644" w:type="dxa"/>
            <w:gridSpan w:val="3"/>
            <w:tcBorders>
              <w:bottom w:val="single" w:color="auto" w:sz="4" w:space="0"/>
            </w:tcBorders>
            <w:vAlign w:val="center"/>
          </w:tcPr>
          <w:p>
            <w:pPr>
              <w:rPr>
                <w:rFonts w:eastAsia="仿宋_GB2312"/>
                <w:spacing w:val="-16"/>
                <w:sz w:val="24"/>
              </w:rPr>
            </w:pPr>
            <w:r>
              <w:rPr>
                <w:rFonts w:hint="eastAsia" w:eastAsia="仿宋_GB2312"/>
                <w:spacing w:val="-16"/>
                <w:sz w:val="24"/>
              </w:rPr>
              <w:t>其中：中央财政</w:t>
            </w:r>
          </w:p>
        </w:tc>
        <w:tc>
          <w:tcPr>
            <w:tcW w:w="720" w:type="dxa"/>
            <w:tcBorders>
              <w:bottom w:val="single" w:color="auto" w:sz="4" w:space="0"/>
            </w:tcBorders>
            <w:vAlign w:val="center"/>
          </w:tcPr>
          <w:p>
            <w:pPr>
              <w:rPr>
                <w:rFonts w:eastAsia="仿宋_GB2312"/>
                <w:spacing w:val="-6"/>
                <w:sz w:val="24"/>
              </w:rPr>
            </w:pPr>
            <w:r>
              <w:rPr>
                <w:rFonts w:hint="eastAsia" w:eastAsia="仿宋_GB2312"/>
                <w:spacing w:val="-6"/>
                <w:sz w:val="24"/>
              </w:rPr>
              <w:t>167</w:t>
            </w:r>
          </w:p>
        </w:tc>
        <w:tc>
          <w:tcPr>
            <w:tcW w:w="1620" w:type="dxa"/>
            <w:tcBorders>
              <w:bottom w:val="single" w:color="auto" w:sz="4" w:space="0"/>
            </w:tcBorders>
            <w:vAlign w:val="center"/>
          </w:tcPr>
          <w:p>
            <w:pPr>
              <w:rPr>
                <w:rFonts w:eastAsia="仿宋_GB2312"/>
                <w:spacing w:val="-16"/>
                <w:sz w:val="24"/>
              </w:rPr>
            </w:pPr>
            <w:r>
              <w:rPr>
                <w:rFonts w:hint="eastAsia" w:eastAsia="仿宋_GB2312"/>
                <w:spacing w:val="-16"/>
                <w:sz w:val="24"/>
              </w:rPr>
              <w:t>其中：中央财政</w:t>
            </w:r>
          </w:p>
        </w:tc>
        <w:tc>
          <w:tcPr>
            <w:tcW w:w="696" w:type="dxa"/>
            <w:tcBorders>
              <w:bottom w:val="single" w:color="auto" w:sz="4" w:space="0"/>
            </w:tcBorders>
            <w:vAlign w:val="center"/>
          </w:tcPr>
          <w:p>
            <w:pPr>
              <w:jc w:val="center"/>
              <w:rPr>
                <w:rFonts w:eastAsia="仿宋_GB2312"/>
                <w:b/>
                <w:sz w:val="24"/>
              </w:rPr>
            </w:pPr>
            <w:r>
              <w:rPr>
                <w:rFonts w:hint="eastAsia" w:eastAsia="仿宋_GB2312"/>
                <w:b/>
                <w:sz w:val="24"/>
              </w:rPr>
              <w:t>103.528789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eastAsia="仿宋_GB2312"/>
                <w:sz w:val="24"/>
              </w:rPr>
            </w:pPr>
            <w:r>
              <w:rPr>
                <w:rFonts w:hint="eastAsia" w:eastAsia="仿宋_GB2312"/>
                <w:sz w:val="24"/>
              </w:rPr>
              <w:t>省财政</w:t>
            </w:r>
          </w:p>
        </w:tc>
        <w:tc>
          <w:tcPr>
            <w:tcW w:w="720" w:type="dxa"/>
            <w:gridSpan w:val="2"/>
            <w:tcBorders>
              <w:bottom w:val="single" w:color="auto" w:sz="4" w:space="0"/>
            </w:tcBorders>
            <w:vAlign w:val="center"/>
          </w:tcPr>
          <w:p>
            <w:pPr>
              <w:rPr>
                <w:rFonts w:eastAsia="仿宋_GB2312"/>
                <w:sz w:val="24"/>
              </w:rPr>
            </w:pPr>
            <w:r>
              <w:rPr>
                <w:rFonts w:hint="eastAsia" w:eastAsia="仿宋_GB2312"/>
                <w:sz w:val="24"/>
              </w:rPr>
              <w:t>0</w:t>
            </w:r>
          </w:p>
        </w:tc>
        <w:tc>
          <w:tcPr>
            <w:tcW w:w="1517" w:type="dxa"/>
            <w:tcBorders>
              <w:bottom w:val="single" w:color="auto" w:sz="4" w:space="0"/>
            </w:tcBorders>
            <w:vAlign w:val="center"/>
          </w:tcPr>
          <w:p>
            <w:pPr>
              <w:rPr>
                <w:rFonts w:eastAsia="仿宋_GB2312"/>
                <w:sz w:val="24"/>
              </w:rPr>
            </w:pPr>
            <w:r>
              <w:rPr>
                <w:rFonts w:hint="eastAsia" w:eastAsia="仿宋_GB2312"/>
                <w:sz w:val="24"/>
              </w:rPr>
              <w:t>省财政</w:t>
            </w:r>
          </w:p>
        </w:tc>
        <w:tc>
          <w:tcPr>
            <w:tcW w:w="1003" w:type="dxa"/>
            <w:gridSpan w:val="2"/>
            <w:tcBorders>
              <w:bottom w:val="single" w:color="auto" w:sz="4" w:space="0"/>
            </w:tcBorders>
            <w:vAlign w:val="center"/>
          </w:tcPr>
          <w:p>
            <w:pPr>
              <w:rPr>
                <w:rFonts w:eastAsia="仿宋_GB2312"/>
                <w:sz w:val="24"/>
              </w:rPr>
            </w:pPr>
            <w:r>
              <w:rPr>
                <w:rFonts w:hint="eastAsia" w:eastAsia="仿宋_GB2312"/>
                <w:sz w:val="24"/>
              </w:rPr>
              <w:t>0</w:t>
            </w:r>
          </w:p>
        </w:tc>
        <w:tc>
          <w:tcPr>
            <w:tcW w:w="1644" w:type="dxa"/>
            <w:gridSpan w:val="3"/>
            <w:tcBorders>
              <w:bottom w:val="single" w:color="auto" w:sz="4" w:space="0"/>
            </w:tcBorders>
            <w:vAlign w:val="center"/>
          </w:tcPr>
          <w:p>
            <w:pPr>
              <w:rPr>
                <w:rFonts w:eastAsia="仿宋_GB2312"/>
                <w:sz w:val="24"/>
              </w:rPr>
            </w:pPr>
            <w:r>
              <w:rPr>
                <w:rFonts w:hint="eastAsia" w:eastAsia="仿宋_GB2312"/>
                <w:sz w:val="24"/>
              </w:rPr>
              <w:t>省财政</w:t>
            </w:r>
          </w:p>
        </w:tc>
        <w:tc>
          <w:tcPr>
            <w:tcW w:w="720" w:type="dxa"/>
            <w:tcBorders>
              <w:bottom w:val="single" w:color="auto" w:sz="4" w:space="0"/>
            </w:tcBorders>
            <w:vAlign w:val="center"/>
          </w:tcPr>
          <w:p>
            <w:pPr>
              <w:rPr>
                <w:rFonts w:eastAsia="仿宋_GB2312"/>
                <w:sz w:val="24"/>
              </w:rPr>
            </w:pPr>
            <w:r>
              <w:rPr>
                <w:rFonts w:hint="eastAsia" w:eastAsia="仿宋_GB2312"/>
                <w:sz w:val="24"/>
              </w:rPr>
              <w:t>0</w:t>
            </w:r>
          </w:p>
        </w:tc>
        <w:tc>
          <w:tcPr>
            <w:tcW w:w="1620" w:type="dxa"/>
            <w:tcBorders>
              <w:bottom w:val="single" w:color="auto" w:sz="4" w:space="0"/>
            </w:tcBorders>
            <w:vAlign w:val="center"/>
          </w:tcPr>
          <w:p>
            <w:pPr>
              <w:rPr>
                <w:rFonts w:eastAsia="仿宋_GB2312"/>
                <w:sz w:val="24"/>
              </w:rPr>
            </w:pPr>
            <w:r>
              <w:rPr>
                <w:rFonts w:hint="eastAsia" w:eastAsia="仿宋_GB2312"/>
                <w:sz w:val="24"/>
              </w:rPr>
              <w:t>省财政</w:t>
            </w:r>
          </w:p>
        </w:tc>
        <w:tc>
          <w:tcPr>
            <w:tcW w:w="696" w:type="dxa"/>
            <w:tcBorders>
              <w:bottom w:val="single" w:color="auto" w:sz="4" w:space="0"/>
            </w:tcBorders>
            <w:vAlign w:val="center"/>
          </w:tcPr>
          <w:p>
            <w:pPr>
              <w:jc w:val="center"/>
              <w:rPr>
                <w:rFonts w:eastAsia="仿宋_GB2312"/>
                <w:b/>
                <w:sz w:val="24"/>
              </w:rPr>
            </w:pPr>
            <w:r>
              <w:rPr>
                <w:rFonts w:hint="eastAsia" w:eastAsia="仿宋_GB2312"/>
                <w:b/>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eastAsia="仿宋_GB2312"/>
                <w:sz w:val="24"/>
              </w:rPr>
            </w:pPr>
            <w:r>
              <w:rPr>
                <w:rFonts w:hint="eastAsia" w:eastAsia="仿宋_GB2312"/>
                <w:sz w:val="24"/>
              </w:rPr>
              <w:t>市财政</w:t>
            </w:r>
          </w:p>
        </w:tc>
        <w:tc>
          <w:tcPr>
            <w:tcW w:w="720" w:type="dxa"/>
            <w:gridSpan w:val="2"/>
            <w:tcBorders>
              <w:bottom w:val="single" w:color="auto" w:sz="4" w:space="0"/>
            </w:tcBorders>
            <w:vAlign w:val="center"/>
          </w:tcPr>
          <w:p>
            <w:pPr>
              <w:rPr>
                <w:rFonts w:eastAsia="仿宋_GB2312"/>
                <w:sz w:val="24"/>
              </w:rPr>
            </w:pPr>
            <w:r>
              <w:rPr>
                <w:rFonts w:hint="eastAsia" w:eastAsia="仿宋_GB2312"/>
                <w:sz w:val="24"/>
              </w:rPr>
              <w:t>0</w:t>
            </w:r>
          </w:p>
        </w:tc>
        <w:tc>
          <w:tcPr>
            <w:tcW w:w="1517" w:type="dxa"/>
            <w:tcBorders>
              <w:bottom w:val="single" w:color="auto" w:sz="4" w:space="0"/>
            </w:tcBorders>
            <w:vAlign w:val="center"/>
          </w:tcPr>
          <w:p>
            <w:pPr>
              <w:rPr>
                <w:rFonts w:eastAsia="仿宋_GB2312"/>
                <w:sz w:val="24"/>
              </w:rPr>
            </w:pPr>
            <w:r>
              <w:rPr>
                <w:rFonts w:hint="eastAsia" w:eastAsia="仿宋_GB2312"/>
                <w:sz w:val="24"/>
              </w:rPr>
              <w:t>市财政</w:t>
            </w:r>
          </w:p>
        </w:tc>
        <w:tc>
          <w:tcPr>
            <w:tcW w:w="1003" w:type="dxa"/>
            <w:gridSpan w:val="2"/>
            <w:tcBorders>
              <w:bottom w:val="single" w:color="auto" w:sz="4" w:space="0"/>
            </w:tcBorders>
            <w:vAlign w:val="center"/>
          </w:tcPr>
          <w:p>
            <w:pPr>
              <w:rPr>
                <w:rFonts w:eastAsia="仿宋_GB2312"/>
                <w:sz w:val="24"/>
              </w:rPr>
            </w:pPr>
            <w:r>
              <w:rPr>
                <w:rFonts w:hint="eastAsia" w:eastAsia="仿宋_GB2312"/>
                <w:sz w:val="24"/>
              </w:rPr>
              <w:t>0</w:t>
            </w:r>
          </w:p>
        </w:tc>
        <w:tc>
          <w:tcPr>
            <w:tcW w:w="1644" w:type="dxa"/>
            <w:gridSpan w:val="3"/>
            <w:tcBorders>
              <w:bottom w:val="single" w:color="auto" w:sz="4" w:space="0"/>
            </w:tcBorders>
            <w:vAlign w:val="center"/>
          </w:tcPr>
          <w:p>
            <w:pPr>
              <w:rPr>
                <w:rFonts w:eastAsia="仿宋_GB2312"/>
                <w:sz w:val="24"/>
              </w:rPr>
            </w:pPr>
            <w:r>
              <w:rPr>
                <w:rFonts w:hint="eastAsia" w:eastAsia="仿宋_GB2312"/>
                <w:sz w:val="24"/>
              </w:rPr>
              <w:t>市财政</w:t>
            </w:r>
          </w:p>
        </w:tc>
        <w:tc>
          <w:tcPr>
            <w:tcW w:w="720" w:type="dxa"/>
            <w:tcBorders>
              <w:bottom w:val="single" w:color="auto" w:sz="4" w:space="0"/>
            </w:tcBorders>
            <w:vAlign w:val="center"/>
          </w:tcPr>
          <w:p>
            <w:pPr>
              <w:rPr>
                <w:rFonts w:eastAsia="仿宋_GB2312"/>
                <w:sz w:val="24"/>
              </w:rPr>
            </w:pPr>
            <w:r>
              <w:rPr>
                <w:rFonts w:hint="eastAsia" w:eastAsia="仿宋_GB2312"/>
                <w:sz w:val="24"/>
              </w:rPr>
              <w:t>0</w:t>
            </w:r>
          </w:p>
        </w:tc>
        <w:tc>
          <w:tcPr>
            <w:tcW w:w="1620" w:type="dxa"/>
            <w:tcBorders>
              <w:bottom w:val="single" w:color="auto" w:sz="4" w:space="0"/>
            </w:tcBorders>
            <w:vAlign w:val="center"/>
          </w:tcPr>
          <w:p>
            <w:pPr>
              <w:rPr>
                <w:rFonts w:eastAsia="仿宋_GB2312"/>
                <w:sz w:val="24"/>
              </w:rPr>
            </w:pPr>
            <w:r>
              <w:rPr>
                <w:rFonts w:hint="eastAsia" w:eastAsia="仿宋_GB2312"/>
                <w:sz w:val="24"/>
              </w:rPr>
              <w:t>市财政</w:t>
            </w:r>
          </w:p>
        </w:tc>
        <w:tc>
          <w:tcPr>
            <w:tcW w:w="696" w:type="dxa"/>
            <w:tcBorders>
              <w:bottom w:val="single" w:color="auto" w:sz="4" w:space="0"/>
            </w:tcBorders>
            <w:vAlign w:val="center"/>
          </w:tcPr>
          <w:p>
            <w:pPr>
              <w:jc w:val="center"/>
              <w:rPr>
                <w:rFonts w:eastAsia="仿宋_GB2312"/>
                <w:b/>
                <w:sz w:val="24"/>
              </w:rPr>
            </w:pPr>
            <w:r>
              <w:rPr>
                <w:rFonts w:hint="eastAsia" w:eastAsia="仿宋_GB2312"/>
                <w:b/>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eastAsia="仿宋_GB2312"/>
                <w:sz w:val="24"/>
              </w:rPr>
            </w:pPr>
            <w:r>
              <w:rPr>
                <w:rFonts w:hint="eastAsia" w:eastAsia="仿宋_GB2312"/>
                <w:sz w:val="24"/>
              </w:rPr>
              <w:t>县市区财政</w:t>
            </w:r>
          </w:p>
        </w:tc>
        <w:tc>
          <w:tcPr>
            <w:tcW w:w="720" w:type="dxa"/>
            <w:gridSpan w:val="2"/>
            <w:tcBorders>
              <w:bottom w:val="single" w:color="auto" w:sz="4" w:space="0"/>
            </w:tcBorders>
            <w:vAlign w:val="center"/>
          </w:tcPr>
          <w:p>
            <w:pPr>
              <w:rPr>
                <w:rFonts w:eastAsia="仿宋_GB2312"/>
                <w:sz w:val="24"/>
              </w:rPr>
            </w:pPr>
            <w:r>
              <w:rPr>
                <w:rFonts w:hint="eastAsia" w:eastAsia="仿宋_GB2312"/>
                <w:sz w:val="24"/>
              </w:rPr>
              <w:t>130</w:t>
            </w:r>
          </w:p>
        </w:tc>
        <w:tc>
          <w:tcPr>
            <w:tcW w:w="1517" w:type="dxa"/>
            <w:tcBorders>
              <w:bottom w:val="single" w:color="auto" w:sz="4" w:space="0"/>
            </w:tcBorders>
            <w:vAlign w:val="center"/>
          </w:tcPr>
          <w:p>
            <w:pPr>
              <w:rPr>
                <w:rFonts w:eastAsia="仿宋_GB2312"/>
                <w:sz w:val="24"/>
              </w:rPr>
            </w:pPr>
            <w:r>
              <w:rPr>
                <w:rFonts w:hint="eastAsia" w:eastAsia="仿宋_GB2312"/>
                <w:sz w:val="24"/>
              </w:rPr>
              <w:t>县市区财政</w:t>
            </w:r>
          </w:p>
        </w:tc>
        <w:tc>
          <w:tcPr>
            <w:tcW w:w="1003" w:type="dxa"/>
            <w:gridSpan w:val="2"/>
            <w:tcBorders>
              <w:bottom w:val="single" w:color="auto" w:sz="4" w:space="0"/>
            </w:tcBorders>
            <w:vAlign w:val="center"/>
          </w:tcPr>
          <w:p>
            <w:pPr>
              <w:rPr>
                <w:rFonts w:eastAsia="仿宋_GB2312"/>
                <w:sz w:val="24"/>
              </w:rPr>
            </w:pPr>
            <w:r>
              <w:rPr>
                <w:rFonts w:hint="eastAsia" w:eastAsia="仿宋_GB2312"/>
                <w:sz w:val="24"/>
              </w:rPr>
              <w:t>130</w:t>
            </w:r>
          </w:p>
        </w:tc>
        <w:tc>
          <w:tcPr>
            <w:tcW w:w="1644" w:type="dxa"/>
            <w:gridSpan w:val="3"/>
            <w:tcBorders>
              <w:bottom w:val="single" w:color="auto" w:sz="4" w:space="0"/>
            </w:tcBorders>
            <w:vAlign w:val="center"/>
          </w:tcPr>
          <w:p>
            <w:pPr>
              <w:rPr>
                <w:rFonts w:eastAsia="仿宋_GB2312"/>
                <w:sz w:val="24"/>
              </w:rPr>
            </w:pPr>
            <w:r>
              <w:rPr>
                <w:rFonts w:hint="eastAsia" w:eastAsia="仿宋_GB2312"/>
                <w:sz w:val="24"/>
              </w:rPr>
              <w:t>县市区财政</w:t>
            </w:r>
          </w:p>
        </w:tc>
        <w:tc>
          <w:tcPr>
            <w:tcW w:w="720" w:type="dxa"/>
            <w:tcBorders>
              <w:bottom w:val="single" w:color="auto" w:sz="4" w:space="0"/>
            </w:tcBorders>
            <w:vAlign w:val="center"/>
          </w:tcPr>
          <w:p>
            <w:pPr>
              <w:rPr>
                <w:rFonts w:eastAsia="仿宋_GB2312"/>
                <w:sz w:val="24"/>
              </w:rPr>
            </w:pPr>
            <w:r>
              <w:rPr>
                <w:rFonts w:hint="eastAsia" w:eastAsia="仿宋_GB2312"/>
                <w:sz w:val="24"/>
              </w:rPr>
              <w:t>130</w:t>
            </w:r>
          </w:p>
        </w:tc>
        <w:tc>
          <w:tcPr>
            <w:tcW w:w="1620" w:type="dxa"/>
            <w:tcBorders>
              <w:bottom w:val="single" w:color="auto" w:sz="4" w:space="0"/>
            </w:tcBorders>
            <w:vAlign w:val="center"/>
          </w:tcPr>
          <w:p>
            <w:pPr>
              <w:rPr>
                <w:rFonts w:eastAsia="仿宋_GB2312"/>
                <w:sz w:val="24"/>
              </w:rPr>
            </w:pPr>
            <w:r>
              <w:rPr>
                <w:rFonts w:hint="eastAsia" w:eastAsia="仿宋_GB2312"/>
                <w:sz w:val="24"/>
              </w:rPr>
              <w:t>县市区财政</w:t>
            </w:r>
          </w:p>
        </w:tc>
        <w:tc>
          <w:tcPr>
            <w:tcW w:w="696" w:type="dxa"/>
            <w:tcBorders>
              <w:bottom w:val="single" w:color="auto" w:sz="4" w:space="0"/>
            </w:tcBorders>
            <w:vAlign w:val="center"/>
          </w:tcPr>
          <w:p>
            <w:pPr>
              <w:jc w:val="center"/>
              <w:rPr>
                <w:rFonts w:eastAsia="仿宋_GB2312"/>
                <w:b/>
                <w:sz w:val="24"/>
              </w:rPr>
            </w:pPr>
            <w:r>
              <w:rPr>
                <w:rFonts w:hint="eastAsia" w:eastAsia="仿宋_GB2312"/>
                <w:b/>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bottom w:val="single" w:color="auto" w:sz="4" w:space="0"/>
            </w:tcBorders>
            <w:vAlign w:val="center"/>
          </w:tcPr>
          <w:p>
            <w:pPr>
              <w:rPr>
                <w:rFonts w:eastAsia="仿宋_GB2312"/>
                <w:sz w:val="24"/>
              </w:rPr>
            </w:pPr>
            <w:r>
              <w:rPr>
                <w:rFonts w:hint="eastAsia" w:eastAsia="仿宋_GB2312"/>
                <w:sz w:val="24"/>
              </w:rPr>
              <w:t>其它</w:t>
            </w:r>
          </w:p>
        </w:tc>
        <w:tc>
          <w:tcPr>
            <w:tcW w:w="720" w:type="dxa"/>
            <w:gridSpan w:val="2"/>
            <w:tcBorders>
              <w:bottom w:val="single" w:color="auto" w:sz="4" w:space="0"/>
            </w:tcBorders>
            <w:vAlign w:val="center"/>
          </w:tcPr>
          <w:p>
            <w:pPr>
              <w:rPr>
                <w:rFonts w:eastAsia="仿宋_GB2312"/>
                <w:sz w:val="24"/>
              </w:rPr>
            </w:pPr>
            <w:r>
              <w:rPr>
                <w:rFonts w:hint="eastAsia" w:eastAsia="仿宋_GB2312"/>
                <w:sz w:val="24"/>
              </w:rPr>
              <w:t>0</w:t>
            </w:r>
          </w:p>
        </w:tc>
        <w:tc>
          <w:tcPr>
            <w:tcW w:w="1517" w:type="dxa"/>
            <w:tcBorders>
              <w:bottom w:val="single" w:color="auto" w:sz="4" w:space="0"/>
            </w:tcBorders>
            <w:vAlign w:val="center"/>
          </w:tcPr>
          <w:p>
            <w:pPr>
              <w:rPr>
                <w:rFonts w:eastAsia="仿宋_GB2312"/>
                <w:sz w:val="24"/>
              </w:rPr>
            </w:pPr>
            <w:r>
              <w:rPr>
                <w:rFonts w:hint="eastAsia" w:eastAsia="仿宋_GB2312"/>
                <w:sz w:val="24"/>
              </w:rPr>
              <w:t>其它</w:t>
            </w:r>
          </w:p>
        </w:tc>
        <w:tc>
          <w:tcPr>
            <w:tcW w:w="1003" w:type="dxa"/>
            <w:gridSpan w:val="2"/>
            <w:tcBorders>
              <w:bottom w:val="single" w:color="auto" w:sz="4" w:space="0"/>
            </w:tcBorders>
            <w:vAlign w:val="center"/>
          </w:tcPr>
          <w:p>
            <w:pPr>
              <w:rPr>
                <w:rFonts w:eastAsia="仿宋_GB2312"/>
                <w:sz w:val="24"/>
              </w:rPr>
            </w:pPr>
            <w:r>
              <w:rPr>
                <w:rFonts w:hint="eastAsia" w:eastAsia="仿宋_GB2312"/>
                <w:sz w:val="24"/>
              </w:rPr>
              <w:t>0</w:t>
            </w:r>
          </w:p>
        </w:tc>
        <w:tc>
          <w:tcPr>
            <w:tcW w:w="1644" w:type="dxa"/>
            <w:gridSpan w:val="3"/>
            <w:tcBorders>
              <w:bottom w:val="single" w:color="auto" w:sz="4" w:space="0"/>
            </w:tcBorders>
            <w:vAlign w:val="center"/>
          </w:tcPr>
          <w:p>
            <w:pPr>
              <w:rPr>
                <w:rFonts w:eastAsia="仿宋_GB2312"/>
                <w:sz w:val="24"/>
              </w:rPr>
            </w:pPr>
            <w:r>
              <w:rPr>
                <w:rFonts w:hint="eastAsia" w:eastAsia="仿宋_GB2312"/>
                <w:sz w:val="24"/>
              </w:rPr>
              <w:t>其它</w:t>
            </w:r>
          </w:p>
        </w:tc>
        <w:tc>
          <w:tcPr>
            <w:tcW w:w="720" w:type="dxa"/>
            <w:tcBorders>
              <w:bottom w:val="single" w:color="auto" w:sz="4" w:space="0"/>
            </w:tcBorders>
            <w:vAlign w:val="center"/>
          </w:tcPr>
          <w:p>
            <w:pPr>
              <w:rPr>
                <w:rFonts w:eastAsia="仿宋_GB2312"/>
                <w:sz w:val="24"/>
              </w:rPr>
            </w:pPr>
            <w:r>
              <w:rPr>
                <w:rFonts w:hint="eastAsia" w:eastAsia="仿宋_GB2312"/>
                <w:sz w:val="24"/>
              </w:rPr>
              <w:t>0</w:t>
            </w:r>
          </w:p>
        </w:tc>
        <w:tc>
          <w:tcPr>
            <w:tcW w:w="1620" w:type="dxa"/>
            <w:tcBorders>
              <w:bottom w:val="single" w:color="auto" w:sz="4" w:space="0"/>
            </w:tcBorders>
            <w:vAlign w:val="center"/>
          </w:tcPr>
          <w:p>
            <w:pPr>
              <w:rPr>
                <w:rFonts w:eastAsia="仿宋_GB2312"/>
                <w:sz w:val="24"/>
              </w:rPr>
            </w:pPr>
            <w:r>
              <w:rPr>
                <w:rFonts w:hint="eastAsia" w:eastAsia="仿宋_GB2312"/>
                <w:sz w:val="24"/>
              </w:rPr>
              <w:t>其它</w:t>
            </w:r>
          </w:p>
        </w:tc>
        <w:tc>
          <w:tcPr>
            <w:tcW w:w="696" w:type="dxa"/>
            <w:tcBorders>
              <w:bottom w:val="single" w:color="auto" w:sz="4" w:space="0"/>
            </w:tcBorders>
            <w:vAlign w:val="center"/>
          </w:tcPr>
          <w:p>
            <w:pPr>
              <w:jc w:val="center"/>
              <w:rPr>
                <w:rFonts w:eastAsia="仿宋_GB2312"/>
                <w:b/>
                <w:sz w:val="24"/>
              </w:rPr>
            </w:pPr>
            <w:r>
              <w:rPr>
                <w:rFonts w:hint="eastAsia" w:eastAsia="仿宋_GB2312"/>
                <w:b/>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9582" w:type="dxa"/>
            <w:gridSpan w:val="13"/>
            <w:tcBorders>
              <w:bottom w:val="single" w:color="auto" w:sz="4" w:space="0"/>
            </w:tcBorders>
            <w:vAlign w:val="center"/>
          </w:tcPr>
          <w:p>
            <w:pPr>
              <w:jc w:val="center"/>
              <w:rPr>
                <w:rFonts w:eastAsia="仿宋_GB2312"/>
                <w:b/>
                <w:sz w:val="24"/>
              </w:rPr>
            </w:pPr>
            <w:r>
              <w:rPr>
                <w:rFonts w:hint="eastAsia" w:eastAsia="仿宋_GB2312"/>
                <w:b/>
                <w:sz w:val="24"/>
              </w:rPr>
              <w:t>二、项目支出明细情况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spacing w:line="400" w:lineRule="exact"/>
              <w:jc w:val="center"/>
              <w:rPr>
                <w:rFonts w:eastAsia="仿宋_GB2312"/>
                <w:sz w:val="24"/>
              </w:rPr>
            </w:pPr>
            <w:r>
              <w:rPr>
                <w:rFonts w:hint="eastAsia" w:eastAsia="仿宋_GB2312"/>
                <w:sz w:val="24"/>
              </w:rPr>
              <w:t>支出内容</w:t>
            </w:r>
          </w:p>
        </w:tc>
        <w:tc>
          <w:tcPr>
            <w:tcW w:w="1517" w:type="dxa"/>
            <w:tcBorders>
              <w:bottom w:val="single" w:color="auto" w:sz="4" w:space="0"/>
            </w:tcBorders>
            <w:vAlign w:val="center"/>
          </w:tcPr>
          <w:p>
            <w:pPr>
              <w:jc w:val="center"/>
              <w:rPr>
                <w:rFonts w:eastAsia="仿宋_GB2312"/>
                <w:sz w:val="24"/>
              </w:rPr>
            </w:pPr>
            <w:r>
              <w:rPr>
                <w:rFonts w:hint="eastAsia" w:eastAsia="仿宋_GB2312"/>
                <w:sz w:val="24"/>
              </w:rPr>
              <w:t>实际支出数</w:t>
            </w:r>
          </w:p>
        </w:tc>
        <w:tc>
          <w:tcPr>
            <w:tcW w:w="2647" w:type="dxa"/>
            <w:gridSpan w:val="5"/>
            <w:tcBorders>
              <w:bottom w:val="single" w:color="auto" w:sz="4" w:space="0"/>
            </w:tcBorders>
            <w:vAlign w:val="center"/>
          </w:tcPr>
          <w:p>
            <w:pPr>
              <w:jc w:val="center"/>
              <w:rPr>
                <w:rFonts w:eastAsia="仿宋_GB2312"/>
                <w:sz w:val="24"/>
              </w:rPr>
            </w:pPr>
            <w:r>
              <w:rPr>
                <w:rFonts w:hint="eastAsia" w:eastAsia="仿宋_GB2312"/>
                <w:sz w:val="24"/>
              </w:rPr>
              <w:t>会计凭证号</w:t>
            </w:r>
          </w:p>
        </w:tc>
        <w:tc>
          <w:tcPr>
            <w:tcW w:w="3036" w:type="dxa"/>
            <w:gridSpan w:val="3"/>
            <w:tcBorders>
              <w:bottom w:val="single" w:color="auto" w:sz="4" w:space="0"/>
            </w:tcBorders>
            <w:vAlign w:val="center"/>
          </w:tcPr>
          <w:p>
            <w:pPr>
              <w:jc w:val="center"/>
              <w:rPr>
                <w:rFonts w:eastAsia="仿宋_GB2312"/>
                <w:sz w:val="24"/>
              </w:rPr>
            </w:pPr>
            <w:r>
              <w:rPr>
                <w:rFonts w:hint="eastAsia"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jc w:val="center"/>
              <w:rPr>
                <w:rFonts w:eastAsia="仿宋_GB2312"/>
                <w:sz w:val="24"/>
              </w:rPr>
            </w:pPr>
            <w:r>
              <w:rPr>
                <w:rFonts w:hint="eastAsia" w:eastAsia="仿宋_GB2312"/>
                <w:sz w:val="24"/>
              </w:rPr>
              <w:t>项目工程施工费</w:t>
            </w:r>
          </w:p>
        </w:tc>
        <w:tc>
          <w:tcPr>
            <w:tcW w:w="1517" w:type="dxa"/>
            <w:tcBorders>
              <w:bottom w:val="single" w:color="auto" w:sz="4" w:space="0"/>
            </w:tcBorders>
            <w:vAlign w:val="center"/>
          </w:tcPr>
          <w:p>
            <w:pPr>
              <w:jc w:val="center"/>
              <w:rPr>
                <w:rFonts w:eastAsia="仿宋_GB2312"/>
                <w:sz w:val="24"/>
              </w:rPr>
            </w:pPr>
            <w:r>
              <w:rPr>
                <w:rFonts w:hint="eastAsia" w:eastAsia="仿宋_GB2312"/>
                <w:sz w:val="24"/>
              </w:rPr>
              <w:t>167万元</w:t>
            </w:r>
          </w:p>
        </w:tc>
        <w:tc>
          <w:tcPr>
            <w:tcW w:w="2647" w:type="dxa"/>
            <w:gridSpan w:val="5"/>
            <w:tcBorders>
              <w:bottom w:val="single" w:color="auto" w:sz="4" w:space="0"/>
            </w:tcBorders>
            <w:vAlign w:val="center"/>
          </w:tcPr>
          <w:p>
            <w:pPr>
              <w:jc w:val="center"/>
              <w:rPr>
                <w:rFonts w:eastAsia="仿宋_GB2312"/>
                <w:sz w:val="24"/>
              </w:rPr>
            </w:pPr>
            <w:r>
              <w:rPr>
                <w:rFonts w:hint="eastAsia" w:eastAsia="仿宋_GB2312"/>
                <w:sz w:val="24"/>
              </w:rPr>
              <w:t>10月5#、12月14#</w:t>
            </w:r>
          </w:p>
        </w:tc>
        <w:tc>
          <w:tcPr>
            <w:tcW w:w="3036" w:type="dxa"/>
            <w:gridSpan w:val="3"/>
            <w:tcBorders>
              <w:bottom w:val="single" w:color="auto" w:sz="4" w:space="0"/>
            </w:tcBorders>
            <w:vAlign w:val="center"/>
          </w:tcPr>
          <w:p>
            <w:pPr>
              <w:jc w:val="center"/>
              <w:rPr>
                <w:rFonts w:eastAsia="仿宋_GB2312"/>
                <w:sz w:val="24"/>
              </w:rPr>
            </w:pPr>
            <w:r>
              <w:rPr>
                <w:rFonts w:hint="eastAsia" w:eastAsia="仿宋_GB2312"/>
                <w:sz w:val="24"/>
              </w:rPr>
              <w:t>针对项目需要进行施工的7个矿点所产生的施工费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jc w:val="center"/>
              <w:rPr>
                <w:rFonts w:eastAsia="仿宋_GB2312"/>
                <w:sz w:val="24"/>
              </w:rPr>
            </w:pPr>
            <w:r>
              <w:rPr>
                <w:rFonts w:hint="eastAsia" w:eastAsia="仿宋_GB2312"/>
                <w:sz w:val="24"/>
              </w:rPr>
              <w:t>项目滨湖村矿点费用</w:t>
            </w:r>
          </w:p>
        </w:tc>
        <w:tc>
          <w:tcPr>
            <w:tcW w:w="1517" w:type="dxa"/>
            <w:tcBorders>
              <w:bottom w:val="single" w:color="auto" w:sz="4" w:space="0"/>
            </w:tcBorders>
            <w:vAlign w:val="center"/>
          </w:tcPr>
          <w:p>
            <w:pPr>
              <w:jc w:val="center"/>
              <w:rPr>
                <w:rFonts w:eastAsia="仿宋_GB2312"/>
                <w:sz w:val="24"/>
              </w:rPr>
            </w:pPr>
            <w:r>
              <w:rPr>
                <w:rFonts w:hint="eastAsia" w:eastAsia="仿宋_GB2312"/>
                <w:sz w:val="24"/>
              </w:rPr>
              <w:t>30万元</w:t>
            </w:r>
          </w:p>
        </w:tc>
        <w:tc>
          <w:tcPr>
            <w:tcW w:w="2647" w:type="dxa"/>
            <w:gridSpan w:val="5"/>
            <w:tcBorders>
              <w:bottom w:val="single" w:color="auto" w:sz="4" w:space="0"/>
            </w:tcBorders>
            <w:vAlign w:val="center"/>
          </w:tcPr>
          <w:p>
            <w:pPr>
              <w:jc w:val="center"/>
              <w:rPr>
                <w:rFonts w:eastAsia="仿宋_GB2312"/>
                <w:sz w:val="24"/>
              </w:rPr>
            </w:pPr>
          </w:p>
        </w:tc>
        <w:tc>
          <w:tcPr>
            <w:tcW w:w="3036" w:type="dxa"/>
            <w:gridSpan w:val="3"/>
            <w:tcBorders>
              <w:bottom w:val="single" w:color="auto" w:sz="4" w:space="0"/>
            </w:tcBorders>
            <w:vAlign w:val="center"/>
          </w:tcPr>
          <w:p>
            <w:pPr>
              <w:rPr>
                <w:rFonts w:eastAsia="仿宋_GB2312"/>
                <w:sz w:val="24"/>
              </w:rPr>
            </w:pPr>
            <w:r>
              <w:rPr>
                <w:rFonts w:hint="eastAsia" w:eastAsia="仿宋_GB2312"/>
                <w:sz w:val="24"/>
              </w:rPr>
              <w:t>该矿点前期已经通过增减挂钩项目进行修复。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jc w:val="center"/>
              <w:rPr>
                <w:rFonts w:eastAsia="仿宋_GB2312"/>
                <w:sz w:val="24"/>
              </w:rPr>
            </w:pPr>
            <w:r>
              <w:rPr>
                <w:rFonts w:hint="eastAsia" w:eastAsia="仿宋_GB2312"/>
                <w:sz w:val="24"/>
              </w:rPr>
              <w:t>项目陆城村矿点费用</w:t>
            </w:r>
          </w:p>
        </w:tc>
        <w:tc>
          <w:tcPr>
            <w:tcW w:w="1517" w:type="dxa"/>
            <w:tcBorders>
              <w:bottom w:val="single" w:color="auto" w:sz="4" w:space="0"/>
            </w:tcBorders>
            <w:vAlign w:val="center"/>
          </w:tcPr>
          <w:p>
            <w:pPr>
              <w:jc w:val="center"/>
              <w:rPr>
                <w:rFonts w:eastAsia="仿宋_GB2312"/>
                <w:sz w:val="24"/>
              </w:rPr>
            </w:pPr>
            <w:r>
              <w:rPr>
                <w:rFonts w:hint="eastAsia" w:eastAsia="仿宋_GB2312"/>
                <w:sz w:val="24"/>
              </w:rPr>
              <w:t>50万元</w:t>
            </w:r>
          </w:p>
        </w:tc>
        <w:tc>
          <w:tcPr>
            <w:tcW w:w="2647" w:type="dxa"/>
            <w:gridSpan w:val="5"/>
            <w:tcBorders>
              <w:bottom w:val="single" w:color="auto" w:sz="4" w:space="0"/>
            </w:tcBorders>
            <w:vAlign w:val="center"/>
          </w:tcPr>
          <w:p>
            <w:pPr>
              <w:jc w:val="center"/>
              <w:rPr>
                <w:rFonts w:eastAsia="仿宋_GB2312"/>
                <w:sz w:val="24"/>
              </w:rPr>
            </w:pPr>
          </w:p>
        </w:tc>
        <w:tc>
          <w:tcPr>
            <w:tcW w:w="3036" w:type="dxa"/>
            <w:gridSpan w:val="3"/>
            <w:tcBorders>
              <w:bottom w:val="single" w:color="auto" w:sz="4" w:space="0"/>
            </w:tcBorders>
            <w:vAlign w:val="center"/>
          </w:tcPr>
          <w:p>
            <w:pPr>
              <w:jc w:val="center"/>
              <w:rPr>
                <w:rFonts w:eastAsia="仿宋_GB2312"/>
                <w:sz w:val="24"/>
              </w:rPr>
            </w:pPr>
            <w:r>
              <w:rPr>
                <w:rFonts w:hint="eastAsia" w:eastAsia="仿宋_GB2312"/>
                <w:sz w:val="24"/>
              </w:rPr>
              <w:t>该矿点前期已经通过林业局裸露山体修复项目修复。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jc w:val="center"/>
              <w:rPr>
                <w:rFonts w:eastAsia="仿宋_GB2312"/>
                <w:sz w:val="24"/>
              </w:rPr>
            </w:pPr>
            <w:r>
              <w:rPr>
                <w:rFonts w:hint="eastAsia" w:eastAsia="仿宋_GB2312"/>
                <w:sz w:val="24"/>
              </w:rPr>
              <w:t>项目东风村矿点费用</w:t>
            </w:r>
          </w:p>
        </w:tc>
        <w:tc>
          <w:tcPr>
            <w:tcW w:w="1517" w:type="dxa"/>
            <w:tcBorders>
              <w:bottom w:val="single" w:color="auto" w:sz="4" w:space="0"/>
            </w:tcBorders>
            <w:vAlign w:val="center"/>
          </w:tcPr>
          <w:p>
            <w:pPr>
              <w:jc w:val="center"/>
              <w:rPr>
                <w:rFonts w:eastAsia="仿宋_GB2312"/>
                <w:sz w:val="24"/>
              </w:rPr>
            </w:pPr>
            <w:r>
              <w:rPr>
                <w:rFonts w:hint="eastAsia" w:eastAsia="仿宋_GB2312"/>
                <w:sz w:val="24"/>
              </w:rPr>
              <w:t>50万元</w:t>
            </w:r>
          </w:p>
        </w:tc>
        <w:tc>
          <w:tcPr>
            <w:tcW w:w="2647" w:type="dxa"/>
            <w:gridSpan w:val="5"/>
            <w:tcBorders>
              <w:bottom w:val="single" w:color="auto" w:sz="4" w:space="0"/>
            </w:tcBorders>
            <w:vAlign w:val="center"/>
          </w:tcPr>
          <w:p>
            <w:pPr>
              <w:jc w:val="center"/>
              <w:rPr>
                <w:rFonts w:eastAsia="仿宋_GB2312"/>
                <w:sz w:val="24"/>
              </w:rPr>
            </w:pPr>
          </w:p>
        </w:tc>
        <w:tc>
          <w:tcPr>
            <w:tcW w:w="3036" w:type="dxa"/>
            <w:gridSpan w:val="3"/>
            <w:tcBorders>
              <w:bottom w:val="single" w:color="auto" w:sz="4" w:space="0"/>
            </w:tcBorders>
            <w:vAlign w:val="center"/>
          </w:tcPr>
          <w:p>
            <w:pPr>
              <w:jc w:val="center"/>
              <w:rPr>
                <w:rFonts w:eastAsia="仿宋_GB2312"/>
                <w:sz w:val="24"/>
              </w:rPr>
            </w:pPr>
            <w:r>
              <w:rPr>
                <w:rFonts w:hint="eastAsia" w:eastAsia="仿宋_GB2312"/>
                <w:sz w:val="24"/>
              </w:rPr>
              <w:t>该矿点前期为抗洪抢险临时取土点已通过街道修复。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jc w:val="center"/>
              <w:rPr>
                <w:rFonts w:eastAsia="仿宋_GB2312"/>
                <w:sz w:val="24"/>
              </w:rPr>
            </w:pPr>
          </w:p>
        </w:tc>
        <w:tc>
          <w:tcPr>
            <w:tcW w:w="1517" w:type="dxa"/>
            <w:tcBorders>
              <w:bottom w:val="single" w:color="auto" w:sz="4" w:space="0"/>
            </w:tcBorders>
            <w:vAlign w:val="center"/>
          </w:tcPr>
          <w:p>
            <w:pPr>
              <w:jc w:val="center"/>
              <w:rPr>
                <w:rFonts w:eastAsia="仿宋_GB2312"/>
                <w:sz w:val="24"/>
              </w:rPr>
            </w:pPr>
          </w:p>
        </w:tc>
        <w:tc>
          <w:tcPr>
            <w:tcW w:w="2647" w:type="dxa"/>
            <w:gridSpan w:val="5"/>
            <w:tcBorders>
              <w:bottom w:val="single" w:color="auto" w:sz="4" w:space="0"/>
            </w:tcBorders>
            <w:vAlign w:val="center"/>
          </w:tcPr>
          <w:p>
            <w:pPr>
              <w:jc w:val="center"/>
              <w:rPr>
                <w:rFonts w:eastAsia="仿宋_GB2312"/>
                <w:sz w:val="24"/>
              </w:rPr>
            </w:pPr>
          </w:p>
        </w:tc>
        <w:tc>
          <w:tcPr>
            <w:tcW w:w="3036"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jc w:val="center"/>
              <w:rPr>
                <w:rFonts w:eastAsia="仿宋_GB2312"/>
                <w:sz w:val="24"/>
              </w:rPr>
            </w:pPr>
          </w:p>
        </w:tc>
        <w:tc>
          <w:tcPr>
            <w:tcW w:w="1517" w:type="dxa"/>
            <w:tcBorders>
              <w:bottom w:val="single" w:color="auto" w:sz="4" w:space="0"/>
            </w:tcBorders>
            <w:vAlign w:val="center"/>
          </w:tcPr>
          <w:p>
            <w:pPr>
              <w:jc w:val="center"/>
              <w:rPr>
                <w:rFonts w:eastAsia="仿宋_GB2312"/>
                <w:sz w:val="24"/>
              </w:rPr>
            </w:pPr>
          </w:p>
        </w:tc>
        <w:tc>
          <w:tcPr>
            <w:tcW w:w="2647" w:type="dxa"/>
            <w:gridSpan w:val="5"/>
            <w:tcBorders>
              <w:bottom w:val="single" w:color="auto" w:sz="4" w:space="0"/>
            </w:tcBorders>
            <w:vAlign w:val="center"/>
          </w:tcPr>
          <w:p>
            <w:pPr>
              <w:jc w:val="center"/>
              <w:rPr>
                <w:rFonts w:eastAsia="仿宋_GB2312"/>
                <w:sz w:val="24"/>
              </w:rPr>
            </w:pPr>
          </w:p>
        </w:tc>
        <w:tc>
          <w:tcPr>
            <w:tcW w:w="3036" w:type="dxa"/>
            <w:gridSpan w:val="3"/>
            <w:tcBorders>
              <w:bottom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82" w:type="dxa"/>
            <w:gridSpan w:val="4"/>
            <w:tcBorders>
              <w:bottom w:val="single" w:color="auto" w:sz="4" w:space="0"/>
            </w:tcBorders>
            <w:vAlign w:val="center"/>
          </w:tcPr>
          <w:p>
            <w:pPr>
              <w:jc w:val="center"/>
              <w:rPr>
                <w:rFonts w:eastAsia="仿宋_GB2312"/>
                <w:b/>
                <w:sz w:val="24"/>
              </w:rPr>
            </w:pPr>
            <w:r>
              <w:rPr>
                <w:rFonts w:hint="eastAsia" w:eastAsia="仿宋_GB2312"/>
                <w:sz w:val="24"/>
              </w:rPr>
              <w:t>支出合计</w:t>
            </w:r>
          </w:p>
        </w:tc>
        <w:tc>
          <w:tcPr>
            <w:tcW w:w="1517" w:type="dxa"/>
            <w:tcBorders>
              <w:bottom w:val="single" w:color="auto" w:sz="4" w:space="0"/>
            </w:tcBorders>
            <w:vAlign w:val="center"/>
          </w:tcPr>
          <w:p>
            <w:pPr>
              <w:jc w:val="center"/>
              <w:rPr>
                <w:rFonts w:eastAsia="仿宋_GB2312"/>
                <w:b/>
                <w:sz w:val="24"/>
              </w:rPr>
            </w:pPr>
            <w:r>
              <w:rPr>
                <w:rFonts w:hint="eastAsia" w:eastAsia="仿宋_GB2312"/>
                <w:b/>
                <w:sz w:val="24"/>
              </w:rPr>
              <w:t>297</w:t>
            </w:r>
          </w:p>
        </w:tc>
        <w:tc>
          <w:tcPr>
            <w:tcW w:w="2647" w:type="dxa"/>
            <w:gridSpan w:val="5"/>
            <w:tcBorders>
              <w:bottom w:val="single" w:color="auto" w:sz="4" w:space="0"/>
            </w:tcBorders>
            <w:vAlign w:val="center"/>
          </w:tcPr>
          <w:p>
            <w:pPr>
              <w:jc w:val="center"/>
              <w:rPr>
                <w:rFonts w:eastAsia="仿宋_GB2312"/>
                <w:b/>
                <w:sz w:val="24"/>
              </w:rPr>
            </w:pPr>
          </w:p>
        </w:tc>
        <w:tc>
          <w:tcPr>
            <w:tcW w:w="3036" w:type="dxa"/>
            <w:gridSpan w:val="3"/>
            <w:tcBorders>
              <w:bottom w:val="single" w:color="auto" w:sz="4" w:space="0"/>
            </w:tcBorders>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exact"/>
          <w:jc w:val="center"/>
        </w:trPr>
        <w:tc>
          <w:tcPr>
            <w:tcW w:w="9582" w:type="dxa"/>
            <w:gridSpan w:val="13"/>
            <w:tcBorders>
              <w:bottom w:val="single" w:color="auto" w:sz="4" w:space="0"/>
            </w:tcBorders>
            <w:vAlign w:val="center"/>
          </w:tcPr>
          <w:p>
            <w:pPr>
              <w:jc w:val="center"/>
              <w:rPr>
                <w:rFonts w:eastAsia="仿宋_GB2312"/>
                <w:b/>
                <w:sz w:val="24"/>
              </w:rPr>
            </w:pPr>
            <w:r>
              <w:rPr>
                <w:rFonts w:hint="eastAsia" w:eastAsia="仿宋_GB2312"/>
                <w:b/>
                <w:sz w:val="24"/>
              </w:rPr>
              <w:t>三、项目绩效自评情况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73" w:type="dxa"/>
            <w:vMerge w:val="restart"/>
            <w:vAlign w:val="center"/>
          </w:tcPr>
          <w:p>
            <w:pPr>
              <w:spacing w:line="400" w:lineRule="exact"/>
              <w:jc w:val="center"/>
              <w:rPr>
                <w:rFonts w:eastAsia="仿宋_GB2312"/>
                <w:sz w:val="24"/>
              </w:rPr>
            </w:pPr>
            <w:r>
              <w:rPr>
                <w:rFonts w:hint="eastAsia" w:eastAsia="仿宋_GB2312"/>
                <w:sz w:val="24"/>
              </w:rPr>
              <w:t>项目绩效定性目标及实施计划完成情况</w:t>
            </w:r>
          </w:p>
        </w:tc>
        <w:tc>
          <w:tcPr>
            <w:tcW w:w="5073" w:type="dxa"/>
            <w:gridSpan w:val="9"/>
            <w:tcBorders>
              <w:bottom w:val="single" w:color="auto" w:sz="4" w:space="0"/>
            </w:tcBorders>
            <w:vAlign w:val="center"/>
          </w:tcPr>
          <w:p>
            <w:pPr>
              <w:spacing w:line="400" w:lineRule="exact"/>
              <w:jc w:val="center"/>
              <w:rPr>
                <w:rFonts w:eastAsia="仿宋_GB2312"/>
                <w:sz w:val="24"/>
              </w:rPr>
            </w:pPr>
            <w:r>
              <w:rPr>
                <w:rFonts w:hint="eastAsia" w:eastAsia="仿宋_GB2312"/>
                <w:sz w:val="24"/>
              </w:rPr>
              <w:t>预  期 目 标</w:t>
            </w:r>
          </w:p>
        </w:tc>
        <w:tc>
          <w:tcPr>
            <w:tcW w:w="3036" w:type="dxa"/>
            <w:gridSpan w:val="3"/>
            <w:tcBorders>
              <w:bottom w:val="single" w:color="auto" w:sz="4" w:space="0"/>
            </w:tcBorders>
            <w:vAlign w:val="center"/>
          </w:tcPr>
          <w:p>
            <w:pPr>
              <w:spacing w:line="400" w:lineRule="exact"/>
              <w:jc w:val="center"/>
              <w:rPr>
                <w:rFonts w:eastAsia="仿宋_GB2312"/>
                <w:sz w:val="24"/>
              </w:rPr>
            </w:pPr>
            <w:r>
              <w:rPr>
                <w:rFonts w:hint="eastAsia" w:eastAsia="仿宋_GB2312"/>
                <w:sz w:val="24"/>
              </w:rPr>
              <w:t>实际完成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1473" w:type="dxa"/>
            <w:vMerge w:val="continue"/>
            <w:tcBorders>
              <w:bottom w:val="single" w:color="auto" w:sz="4" w:space="0"/>
            </w:tcBorders>
            <w:vAlign w:val="center"/>
          </w:tcPr>
          <w:p>
            <w:pPr>
              <w:jc w:val="center"/>
              <w:rPr>
                <w:rFonts w:eastAsia="仿宋_GB2312"/>
                <w:b/>
                <w:sz w:val="24"/>
              </w:rPr>
            </w:pPr>
          </w:p>
        </w:tc>
        <w:tc>
          <w:tcPr>
            <w:tcW w:w="5073" w:type="dxa"/>
            <w:gridSpan w:val="9"/>
            <w:tcBorders>
              <w:bottom w:val="single" w:color="auto" w:sz="4" w:space="0"/>
            </w:tcBorders>
            <w:vAlign w:val="center"/>
          </w:tcPr>
          <w:p>
            <w:pPr>
              <w:jc w:val="left"/>
              <w:rPr>
                <w:rFonts w:eastAsia="仿宋_GB2312"/>
                <w:b/>
                <w:sz w:val="24"/>
              </w:rPr>
            </w:pPr>
            <w:r>
              <w:rPr>
                <w:rFonts w:hint="eastAsia" w:eastAsia="仿宋_GB2312"/>
                <w:sz w:val="24"/>
              </w:rPr>
              <w:t>完成云溪区12个矿点17个图斑废弃露天矿山 “一矿一策”生态修复，修复总面积19.1562公顷（其中恢复水田6.3324公顷）。</w:t>
            </w:r>
          </w:p>
        </w:tc>
        <w:tc>
          <w:tcPr>
            <w:tcW w:w="3036" w:type="dxa"/>
            <w:gridSpan w:val="3"/>
            <w:tcBorders>
              <w:bottom w:val="single" w:color="auto" w:sz="4" w:space="0"/>
            </w:tcBorders>
            <w:vAlign w:val="center"/>
          </w:tcPr>
          <w:p>
            <w:pPr>
              <w:spacing w:line="400" w:lineRule="exact"/>
              <w:jc w:val="center"/>
              <w:rPr>
                <w:rFonts w:eastAsia="仿宋_GB2312"/>
                <w:b/>
                <w:sz w:val="24"/>
              </w:rPr>
            </w:pPr>
            <w:r>
              <w:rPr>
                <w:rFonts w:hint="eastAsia" w:eastAsia="仿宋_GB2312"/>
                <w:sz w:val="24"/>
              </w:rPr>
              <w:t>完成云溪区12个矿点17个图斑废弃露天矿山 “一矿一策”生态修复，修复总面积19.1562公顷（其中恢复水田6.3324公顷）。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exact"/>
          <w:jc w:val="center"/>
        </w:trPr>
        <w:tc>
          <w:tcPr>
            <w:tcW w:w="1473" w:type="dxa"/>
            <w:vMerge w:val="restart"/>
            <w:vAlign w:val="center"/>
          </w:tcPr>
          <w:p>
            <w:pPr>
              <w:jc w:val="center"/>
              <w:rPr>
                <w:rFonts w:eastAsia="仿宋_GB2312"/>
                <w:sz w:val="24"/>
              </w:rPr>
            </w:pPr>
            <w:r>
              <w:rPr>
                <w:rFonts w:hint="eastAsia" w:eastAsia="仿宋_GB2312"/>
                <w:sz w:val="24"/>
              </w:rPr>
              <w:t>项目绩效定量目标（指标）及完成情况</w:t>
            </w:r>
          </w:p>
        </w:tc>
        <w:tc>
          <w:tcPr>
            <w:tcW w:w="909" w:type="dxa"/>
            <w:gridSpan w:val="3"/>
            <w:vAlign w:val="center"/>
          </w:tcPr>
          <w:p>
            <w:pPr>
              <w:jc w:val="center"/>
              <w:rPr>
                <w:rFonts w:eastAsia="仿宋_GB2312"/>
                <w:sz w:val="24"/>
              </w:rPr>
            </w:pPr>
            <w:r>
              <w:rPr>
                <w:rFonts w:hint="eastAsia" w:eastAsia="仿宋_GB2312"/>
                <w:sz w:val="24"/>
              </w:rPr>
              <w:t>一级指标</w:t>
            </w:r>
          </w:p>
        </w:tc>
        <w:tc>
          <w:tcPr>
            <w:tcW w:w="1517" w:type="dxa"/>
            <w:tcBorders>
              <w:bottom w:val="single" w:color="auto" w:sz="4" w:space="0"/>
            </w:tcBorders>
            <w:vAlign w:val="center"/>
          </w:tcPr>
          <w:p>
            <w:pPr>
              <w:spacing w:line="360" w:lineRule="exact"/>
              <w:jc w:val="center"/>
              <w:rPr>
                <w:rFonts w:eastAsia="仿宋_GB2312"/>
                <w:sz w:val="24"/>
              </w:rPr>
            </w:pPr>
            <w:r>
              <w:rPr>
                <w:rFonts w:hint="eastAsia" w:eastAsia="仿宋_GB2312"/>
                <w:sz w:val="24"/>
              </w:rPr>
              <w:t>二级指标</w:t>
            </w:r>
          </w:p>
        </w:tc>
        <w:tc>
          <w:tcPr>
            <w:tcW w:w="1565" w:type="dxa"/>
            <w:gridSpan w:val="3"/>
            <w:tcBorders>
              <w:bottom w:val="single" w:color="auto" w:sz="4" w:space="0"/>
            </w:tcBorders>
            <w:vAlign w:val="center"/>
          </w:tcPr>
          <w:p>
            <w:pPr>
              <w:spacing w:line="360" w:lineRule="exact"/>
              <w:jc w:val="center"/>
              <w:rPr>
                <w:rFonts w:eastAsia="仿宋_GB2312"/>
                <w:sz w:val="24"/>
              </w:rPr>
            </w:pPr>
            <w:r>
              <w:rPr>
                <w:rFonts w:hint="eastAsia" w:eastAsia="仿宋_GB2312"/>
                <w:sz w:val="24"/>
              </w:rPr>
              <w:t>指标内容</w:t>
            </w:r>
          </w:p>
        </w:tc>
        <w:tc>
          <w:tcPr>
            <w:tcW w:w="1082" w:type="dxa"/>
            <w:gridSpan w:val="2"/>
            <w:tcBorders>
              <w:bottom w:val="single" w:color="auto" w:sz="4" w:space="0"/>
            </w:tcBorders>
            <w:vAlign w:val="center"/>
          </w:tcPr>
          <w:p>
            <w:pPr>
              <w:spacing w:line="360" w:lineRule="exact"/>
              <w:jc w:val="center"/>
              <w:rPr>
                <w:rFonts w:eastAsia="仿宋_GB2312"/>
                <w:sz w:val="24"/>
              </w:rPr>
            </w:pPr>
            <w:r>
              <w:rPr>
                <w:rFonts w:hint="eastAsia" w:eastAsia="仿宋_GB2312"/>
                <w:sz w:val="24"/>
              </w:rPr>
              <w:t>指标（目标）值</w:t>
            </w:r>
          </w:p>
        </w:tc>
        <w:tc>
          <w:tcPr>
            <w:tcW w:w="3036" w:type="dxa"/>
            <w:gridSpan w:val="3"/>
            <w:tcBorders>
              <w:bottom w:val="single" w:color="auto" w:sz="4" w:space="0"/>
            </w:tcBorders>
            <w:vAlign w:val="center"/>
          </w:tcPr>
          <w:p>
            <w:pPr>
              <w:jc w:val="center"/>
              <w:rPr>
                <w:rFonts w:eastAsia="仿宋_GB2312"/>
                <w:sz w:val="24"/>
              </w:rPr>
            </w:pPr>
            <w:r>
              <w:rPr>
                <w:rFonts w:hint="eastAsia" w:eastAsia="仿宋_GB2312"/>
                <w:sz w:val="24"/>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restart"/>
            <w:vAlign w:val="center"/>
          </w:tcPr>
          <w:p>
            <w:pPr>
              <w:jc w:val="center"/>
              <w:rPr>
                <w:rFonts w:eastAsia="仿宋_GB2312"/>
                <w:sz w:val="24"/>
              </w:rPr>
            </w:pPr>
            <w:r>
              <w:rPr>
                <w:rFonts w:hint="eastAsia" w:eastAsia="仿宋_GB2312"/>
                <w:sz w:val="24"/>
              </w:rPr>
              <w:t>项目产出指标</w:t>
            </w:r>
          </w:p>
        </w:tc>
        <w:tc>
          <w:tcPr>
            <w:tcW w:w="1517" w:type="dxa"/>
            <w:vMerge w:val="restart"/>
            <w:vAlign w:val="center"/>
          </w:tcPr>
          <w:p>
            <w:pPr>
              <w:spacing w:line="360" w:lineRule="exact"/>
              <w:jc w:val="center"/>
              <w:rPr>
                <w:rFonts w:eastAsia="仿宋_GB2312"/>
                <w:sz w:val="24"/>
              </w:rPr>
            </w:pPr>
            <w:r>
              <w:rPr>
                <w:rFonts w:hint="eastAsia" w:eastAsia="仿宋_GB2312"/>
                <w:sz w:val="24"/>
              </w:rPr>
              <w:t>数量指标</w:t>
            </w:r>
          </w:p>
        </w:tc>
        <w:tc>
          <w:tcPr>
            <w:tcW w:w="1565" w:type="dxa"/>
            <w:gridSpan w:val="3"/>
            <w:tcBorders>
              <w:bottom w:val="single" w:color="auto" w:sz="4" w:space="0"/>
            </w:tcBorders>
            <w:vAlign w:val="center"/>
          </w:tcPr>
          <w:p>
            <w:pPr>
              <w:jc w:val="center"/>
              <w:rPr>
                <w:szCs w:val="21"/>
              </w:rPr>
            </w:pPr>
            <w:r>
              <w:rPr>
                <w:rFonts w:hint="eastAsia"/>
                <w:szCs w:val="21"/>
              </w:rPr>
              <w:t>修复总面积</w:t>
            </w:r>
          </w:p>
        </w:tc>
        <w:tc>
          <w:tcPr>
            <w:tcW w:w="1082" w:type="dxa"/>
            <w:gridSpan w:val="2"/>
            <w:tcBorders>
              <w:bottom w:val="single" w:color="auto" w:sz="4" w:space="0"/>
            </w:tcBorders>
            <w:vAlign w:val="center"/>
          </w:tcPr>
          <w:p>
            <w:pPr>
              <w:jc w:val="center"/>
              <w:rPr>
                <w:szCs w:val="21"/>
              </w:rPr>
            </w:pPr>
            <w:r>
              <w:rPr>
                <w:rFonts w:hint="eastAsia"/>
                <w:szCs w:val="21"/>
              </w:rPr>
              <w:t>19.1562公顷</w:t>
            </w:r>
          </w:p>
        </w:tc>
        <w:tc>
          <w:tcPr>
            <w:tcW w:w="3036" w:type="dxa"/>
            <w:gridSpan w:val="3"/>
            <w:tcBorders>
              <w:bottom w:val="single" w:color="auto" w:sz="4" w:space="0"/>
            </w:tcBorders>
            <w:vAlign w:val="center"/>
          </w:tcPr>
          <w:p>
            <w:pPr>
              <w:jc w:val="center"/>
              <w:rPr>
                <w:szCs w:val="21"/>
              </w:rPr>
            </w:pPr>
            <w:r>
              <w:rPr>
                <w:rFonts w:hint="eastAsia"/>
                <w:szCs w:val="21"/>
              </w:rPr>
              <w:t>19.1562公顷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szCs w:val="21"/>
              </w:rPr>
            </w:pPr>
            <w:r>
              <w:rPr>
                <w:rFonts w:hint="eastAsia"/>
                <w:szCs w:val="21"/>
              </w:rPr>
              <w:t>恢复水田</w:t>
            </w:r>
          </w:p>
        </w:tc>
        <w:tc>
          <w:tcPr>
            <w:tcW w:w="1082" w:type="dxa"/>
            <w:gridSpan w:val="2"/>
            <w:tcBorders>
              <w:bottom w:val="single" w:color="auto" w:sz="4" w:space="0"/>
            </w:tcBorders>
            <w:vAlign w:val="center"/>
          </w:tcPr>
          <w:p>
            <w:pPr>
              <w:jc w:val="center"/>
              <w:rPr>
                <w:szCs w:val="21"/>
              </w:rPr>
            </w:pPr>
            <w:r>
              <w:rPr>
                <w:rFonts w:hint="eastAsia"/>
                <w:szCs w:val="21"/>
              </w:rPr>
              <w:t>6.3324公顷</w:t>
            </w:r>
          </w:p>
        </w:tc>
        <w:tc>
          <w:tcPr>
            <w:tcW w:w="3036" w:type="dxa"/>
            <w:gridSpan w:val="3"/>
            <w:tcBorders>
              <w:bottom w:val="single" w:color="auto" w:sz="4" w:space="0"/>
            </w:tcBorders>
            <w:vAlign w:val="center"/>
          </w:tcPr>
          <w:p>
            <w:pPr>
              <w:jc w:val="center"/>
              <w:rPr>
                <w:szCs w:val="21"/>
              </w:rPr>
            </w:pPr>
            <w:r>
              <w:rPr>
                <w:rFonts w:hint="eastAsia"/>
                <w:szCs w:val="21"/>
              </w:rPr>
              <w:t>6.3324公顷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restart"/>
            <w:vAlign w:val="center"/>
          </w:tcPr>
          <w:p>
            <w:pPr>
              <w:spacing w:line="360" w:lineRule="exact"/>
              <w:jc w:val="center"/>
              <w:rPr>
                <w:rFonts w:eastAsia="仿宋_GB2312"/>
                <w:sz w:val="24"/>
              </w:rPr>
            </w:pPr>
            <w:r>
              <w:rPr>
                <w:rFonts w:hint="eastAsia" w:eastAsia="仿宋_GB2312"/>
                <w:sz w:val="24"/>
              </w:rPr>
              <w:t>质量指标</w:t>
            </w:r>
          </w:p>
        </w:tc>
        <w:tc>
          <w:tcPr>
            <w:tcW w:w="1565" w:type="dxa"/>
            <w:gridSpan w:val="3"/>
            <w:tcBorders>
              <w:bottom w:val="single" w:color="auto" w:sz="4" w:space="0"/>
            </w:tcBorders>
            <w:vAlign w:val="center"/>
          </w:tcPr>
          <w:p>
            <w:pPr>
              <w:jc w:val="center"/>
              <w:rPr>
                <w:szCs w:val="21"/>
              </w:rPr>
            </w:pPr>
            <w:r>
              <w:rPr>
                <w:rFonts w:hint="eastAsia"/>
                <w:szCs w:val="21"/>
              </w:rPr>
              <w:t>地质灾害</w:t>
            </w:r>
          </w:p>
        </w:tc>
        <w:tc>
          <w:tcPr>
            <w:tcW w:w="1082" w:type="dxa"/>
            <w:gridSpan w:val="2"/>
            <w:tcBorders>
              <w:bottom w:val="single" w:color="auto" w:sz="4" w:space="0"/>
            </w:tcBorders>
            <w:vAlign w:val="center"/>
          </w:tcPr>
          <w:p>
            <w:pPr>
              <w:jc w:val="center"/>
              <w:rPr>
                <w:szCs w:val="21"/>
              </w:rPr>
            </w:pPr>
            <w:r>
              <w:rPr>
                <w:rFonts w:hint="eastAsia"/>
                <w:szCs w:val="21"/>
              </w:rPr>
              <w:t>满足要求</w:t>
            </w:r>
          </w:p>
        </w:tc>
        <w:tc>
          <w:tcPr>
            <w:tcW w:w="3036" w:type="dxa"/>
            <w:gridSpan w:val="3"/>
            <w:tcBorders>
              <w:bottom w:val="single" w:color="auto" w:sz="4" w:space="0"/>
            </w:tcBorders>
            <w:vAlign w:val="center"/>
          </w:tcPr>
          <w:p>
            <w:pPr>
              <w:jc w:val="center"/>
              <w:rPr>
                <w:szCs w:val="21"/>
              </w:rPr>
            </w:pPr>
            <w:r>
              <w:rPr>
                <w:rFonts w:hint="eastAsia"/>
                <w:szCs w:val="21"/>
              </w:rPr>
              <w:t>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szCs w:val="21"/>
              </w:rPr>
            </w:pPr>
            <w:r>
              <w:rPr>
                <w:rFonts w:hint="eastAsia"/>
                <w:szCs w:val="21"/>
              </w:rPr>
              <w:t>完善排水体系</w:t>
            </w:r>
          </w:p>
        </w:tc>
        <w:tc>
          <w:tcPr>
            <w:tcW w:w="1082" w:type="dxa"/>
            <w:gridSpan w:val="2"/>
            <w:tcBorders>
              <w:bottom w:val="single" w:color="auto" w:sz="4" w:space="0"/>
            </w:tcBorders>
            <w:vAlign w:val="center"/>
          </w:tcPr>
          <w:p>
            <w:pPr>
              <w:jc w:val="center"/>
              <w:rPr>
                <w:szCs w:val="21"/>
              </w:rPr>
            </w:pPr>
            <w:r>
              <w:rPr>
                <w:rFonts w:hint="eastAsia"/>
                <w:szCs w:val="21"/>
              </w:rPr>
              <w:t>满足要求</w:t>
            </w:r>
          </w:p>
        </w:tc>
        <w:tc>
          <w:tcPr>
            <w:tcW w:w="3036" w:type="dxa"/>
            <w:gridSpan w:val="3"/>
            <w:tcBorders>
              <w:bottom w:val="single" w:color="auto" w:sz="4" w:space="0"/>
            </w:tcBorders>
            <w:vAlign w:val="center"/>
          </w:tcPr>
          <w:p>
            <w:pPr>
              <w:jc w:val="center"/>
              <w:rPr>
                <w:szCs w:val="21"/>
              </w:rPr>
            </w:pPr>
            <w:r>
              <w:rPr>
                <w:rFonts w:hint="eastAsia"/>
                <w:szCs w:val="21"/>
              </w:rPr>
              <w:t>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restart"/>
            <w:vAlign w:val="center"/>
          </w:tcPr>
          <w:p>
            <w:pPr>
              <w:spacing w:line="360" w:lineRule="exact"/>
              <w:jc w:val="center"/>
              <w:rPr>
                <w:rFonts w:eastAsia="仿宋_GB2312"/>
                <w:sz w:val="24"/>
              </w:rPr>
            </w:pPr>
            <w:r>
              <w:rPr>
                <w:rFonts w:hint="eastAsia" w:eastAsia="仿宋_GB2312"/>
                <w:sz w:val="24"/>
              </w:rPr>
              <w:t>时效指标</w:t>
            </w:r>
          </w:p>
        </w:tc>
        <w:tc>
          <w:tcPr>
            <w:tcW w:w="1565" w:type="dxa"/>
            <w:gridSpan w:val="3"/>
            <w:tcBorders>
              <w:bottom w:val="single" w:color="auto" w:sz="4" w:space="0"/>
            </w:tcBorders>
            <w:vAlign w:val="center"/>
          </w:tcPr>
          <w:p>
            <w:pPr>
              <w:jc w:val="center"/>
              <w:rPr>
                <w:szCs w:val="21"/>
              </w:rPr>
            </w:pPr>
            <w:r>
              <w:rPr>
                <w:rFonts w:hint="eastAsia"/>
                <w:szCs w:val="21"/>
              </w:rPr>
              <w:t>设计年限</w:t>
            </w:r>
          </w:p>
        </w:tc>
        <w:tc>
          <w:tcPr>
            <w:tcW w:w="1082" w:type="dxa"/>
            <w:gridSpan w:val="2"/>
            <w:tcBorders>
              <w:bottom w:val="single" w:color="auto" w:sz="4" w:space="0"/>
            </w:tcBorders>
            <w:vAlign w:val="center"/>
          </w:tcPr>
          <w:p>
            <w:pPr>
              <w:jc w:val="center"/>
              <w:rPr>
                <w:szCs w:val="21"/>
              </w:rPr>
            </w:pPr>
            <w:r>
              <w:rPr>
                <w:rFonts w:hint="eastAsia"/>
                <w:szCs w:val="21"/>
              </w:rPr>
              <w:t>20年</w:t>
            </w:r>
          </w:p>
        </w:tc>
        <w:tc>
          <w:tcPr>
            <w:tcW w:w="3036" w:type="dxa"/>
            <w:gridSpan w:val="3"/>
            <w:tcBorders>
              <w:bottom w:val="single" w:color="auto" w:sz="4" w:space="0"/>
            </w:tcBorders>
            <w:vAlign w:val="center"/>
          </w:tcPr>
          <w:p>
            <w:pPr>
              <w:jc w:val="center"/>
              <w:rPr>
                <w:szCs w:val="21"/>
              </w:rPr>
            </w:pPr>
            <w:r>
              <w:rPr>
                <w:rFonts w:hint="eastAsia"/>
                <w:szCs w:val="21"/>
              </w:rPr>
              <w:t>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szCs w:val="21"/>
              </w:rPr>
            </w:pPr>
            <w:r>
              <w:rPr>
                <w:rFonts w:hint="eastAsia"/>
                <w:szCs w:val="21"/>
              </w:rPr>
              <w:t>建设完成期</w:t>
            </w:r>
          </w:p>
        </w:tc>
        <w:tc>
          <w:tcPr>
            <w:tcW w:w="1082" w:type="dxa"/>
            <w:gridSpan w:val="2"/>
            <w:tcBorders>
              <w:bottom w:val="single" w:color="auto" w:sz="4" w:space="0"/>
            </w:tcBorders>
            <w:vAlign w:val="center"/>
          </w:tcPr>
          <w:p>
            <w:pPr>
              <w:jc w:val="center"/>
              <w:rPr>
                <w:szCs w:val="21"/>
              </w:rPr>
            </w:pPr>
            <w:r>
              <w:rPr>
                <w:rFonts w:hint="eastAsia"/>
                <w:szCs w:val="21"/>
              </w:rPr>
              <w:t>2020年</w:t>
            </w:r>
          </w:p>
        </w:tc>
        <w:tc>
          <w:tcPr>
            <w:tcW w:w="3036" w:type="dxa"/>
            <w:gridSpan w:val="3"/>
            <w:tcBorders>
              <w:bottom w:val="single" w:color="auto" w:sz="4" w:space="0"/>
            </w:tcBorders>
            <w:vAlign w:val="center"/>
          </w:tcPr>
          <w:p>
            <w:pPr>
              <w:jc w:val="center"/>
              <w:rPr>
                <w:szCs w:val="21"/>
              </w:rPr>
            </w:pPr>
            <w:r>
              <w:rPr>
                <w:rFonts w:hint="eastAsia"/>
                <w:szCs w:val="21"/>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restart"/>
            <w:vAlign w:val="center"/>
          </w:tcPr>
          <w:p>
            <w:pPr>
              <w:spacing w:line="360" w:lineRule="exact"/>
              <w:jc w:val="center"/>
              <w:rPr>
                <w:rFonts w:eastAsia="仿宋_GB2312"/>
                <w:sz w:val="24"/>
              </w:rPr>
            </w:pPr>
            <w:r>
              <w:rPr>
                <w:rFonts w:hint="eastAsia" w:eastAsia="仿宋_GB2312"/>
                <w:sz w:val="24"/>
              </w:rPr>
              <w:t>成本指标</w:t>
            </w:r>
          </w:p>
        </w:tc>
        <w:tc>
          <w:tcPr>
            <w:tcW w:w="1565" w:type="dxa"/>
            <w:gridSpan w:val="3"/>
            <w:tcBorders>
              <w:bottom w:val="single" w:color="auto" w:sz="4" w:space="0"/>
            </w:tcBorders>
            <w:vAlign w:val="center"/>
          </w:tcPr>
          <w:p>
            <w:pPr>
              <w:jc w:val="center"/>
              <w:rPr>
                <w:szCs w:val="21"/>
              </w:rPr>
            </w:pPr>
            <w:r>
              <w:rPr>
                <w:rFonts w:hint="eastAsia"/>
                <w:szCs w:val="21"/>
              </w:rPr>
              <w:t>总投资</w:t>
            </w:r>
          </w:p>
        </w:tc>
        <w:tc>
          <w:tcPr>
            <w:tcW w:w="1082" w:type="dxa"/>
            <w:gridSpan w:val="2"/>
            <w:tcBorders>
              <w:bottom w:val="single" w:color="auto" w:sz="4" w:space="0"/>
            </w:tcBorders>
            <w:vAlign w:val="center"/>
          </w:tcPr>
          <w:p>
            <w:pPr>
              <w:jc w:val="center"/>
              <w:rPr>
                <w:szCs w:val="21"/>
              </w:rPr>
            </w:pPr>
            <w:r>
              <w:rPr>
                <w:rFonts w:hint="eastAsia"/>
                <w:szCs w:val="21"/>
              </w:rPr>
              <w:t>277.18万元</w:t>
            </w:r>
          </w:p>
        </w:tc>
        <w:tc>
          <w:tcPr>
            <w:tcW w:w="3036" w:type="dxa"/>
            <w:gridSpan w:val="3"/>
            <w:tcBorders>
              <w:bottom w:val="single" w:color="auto" w:sz="4" w:space="0"/>
            </w:tcBorders>
            <w:vAlign w:val="center"/>
          </w:tcPr>
          <w:p>
            <w:pPr>
              <w:jc w:val="center"/>
              <w:rPr>
                <w:szCs w:val="21"/>
              </w:rPr>
            </w:pPr>
            <w:r>
              <w:rPr>
                <w:rFonts w:hint="eastAsia"/>
                <w:szCs w:val="21"/>
              </w:rPr>
              <w:t>270.53万元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szCs w:val="21"/>
              </w:rPr>
            </w:pPr>
            <w:r>
              <w:rPr>
                <w:rFonts w:hint="eastAsia"/>
                <w:szCs w:val="21"/>
              </w:rPr>
              <w:t>年效益</w:t>
            </w:r>
          </w:p>
        </w:tc>
        <w:tc>
          <w:tcPr>
            <w:tcW w:w="1082" w:type="dxa"/>
            <w:gridSpan w:val="2"/>
            <w:tcBorders>
              <w:bottom w:val="single" w:color="auto" w:sz="4" w:space="0"/>
            </w:tcBorders>
            <w:vAlign w:val="center"/>
          </w:tcPr>
          <w:p>
            <w:pPr>
              <w:jc w:val="center"/>
              <w:rPr>
                <w:szCs w:val="21"/>
              </w:rPr>
            </w:pPr>
            <w:r>
              <w:rPr>
                <w:rFonts w:hint="eastAsia"/>
                <w:szCs w:val="21"/>
              </w:rPr>
              <w:t>14.19万元</w:t>
            </w:r>
          </w:p>
        </w:tc>
        <w:tc>
          <w:tcPr>
            <w:tcW w:w="3036" w:type="dxa"/>
            <w:gridSpan w:val="3"/>
            <w:tcBorders>
              <w:bottom w:val="single" w:color="auto" w:sz="4" w:space="0"/>
            </w:tcBorders>
            <w:vAlign w:val="center"/>
          </w:tcPr>
          <w:p>
            <w:pPr>
              <w:jc w:val="center"/>
              <w:rPr>
                <w:szCs w:val="21"/>
              </w:rPr>
            </w:pPr>
            <w:r>
              <w:rPr>
                <w:rFonts w:hint="eastAsia"/>
                <w:szCs w:val="21"/>
              </w:rPr>
              <w:t>14.19万元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restart"/>
            <w:vAlign w:val="center"/>
          </w:tcPr>
          <w:p>
            <w:pPr>
              <w:jc w:val="center"/>
              <w:rPr>
                <w:rFonts w:eastAsia="仿宋_GB2312"/>
                <w:sz w:val="24"/>
              </w:rPr>
            </w:pPr>
            <w:r>
              <w:rPr>
                <w:rFonts w:hint="eastAsia" w:eastAsia="仿宋_GB2312"/>
                <w:sz w:val="24"/>
              </w:rPr>
              <w:t>项目效益指标</w:t>
            </w:r>
          </w:p>
        </w:tc>
        <w:tc>
          <w:tcPr>
            <w:tcW w:w="1517" w:type="dxa"/>
            <w:vMerge w:val="restart"/>
            <w:vAlign w:val="center"/>
          </w:tcPr>
          <w:p>
            <w:pPr>
              <w:spacing w:line="360" w:lineRule="exact"/>
              <w:jc w:val="center"/>
              <w:rPr>
                <w:rFonts w:eastAsia="仿宋_GB2312"/>
                <w:sz w:val="24"/>
              </w:rPr>
            </w:pPr>
            <w:r>
              <w:rPr>
                <w:rFonts w:hint="eastAsia" w:eastAsia="仿宋_GB2312"/>
                <w:sz w:val="24"/>
              </w:rPr>
              <w:t>经济效益</w:t>
            </w:r>
          </w:p>
          <w:p>
            <w:pPr>
              <w:spacing w:line="360" w:lineRule="exact"/>
              <w:jc w:val="center"/>
              <w:rPr>
                <w:rFonts w:eastAsia="仿宋_GB2312"/>
                <w:sz w:val="24"/>
              </w:rPr>
            </w:pPr>
            <w:r>
              <w:rPr>
                <w:rFonts w:hint="eastAsia" w:eastAsia="仿宋_GB2312"/>
                <w:sz w:val="24"/>
              </w:rPr>
              <w:t>指标</w:t>
            </w:r>
          </w:p>
        </w:tc>
        <w:tc>
          <w:tcPr>
            <w:tcW w:w="1565" w:type="dxa"/>
            <w:gridSpan w:val="3"/>
            <w:tcBorders>
              <w:bottom w:val="single" w:color="auto" w:sz="4" w:space="0"/>
            </w:tcBorders>
            <w:vAlign w:val="center"/>
          </w:tcPr>
          <w:p>
            <w:pPr>
              <w:jc w:val="center"/>
              <w:rPr>
                <w:szCs w:val="21"/>
              </w:rPr>
            </w:pPr>
            <w:r>
              <w:rPr>
                <w:rFonts w:hint="eastAsia"/>
                <w:szCs w:val="21"/>
              </w:rPr>
              <w:t>年效益</w:t>
            </w:r>
          </w:p>
        </w:tc>
        <w:tc>
          <w:tcPr>
            <w:tcW w:w="1082" w:type="dxa"/>
            <w:gridSpan w:val="2"/>
            <w:tcBorders>
              <w:bottom w:val="single" w:color="auto" w:sz="4" w:space="0"/>
            </w:tcBorders>
            <w:vAlign w:val="center"/>
          </w:tcPr>
          <w:p>
            <w:pPr>
              <w:jc w:val="center"/>
              <w:rPr>
                <w:szCs w:val="21"/>
              </w:rPr>
            </w:pPr>
            <w:r>
              <w:rPr>
                <w:rFonts w:hint="eastAsia"/>
                <w:szCs w:val="21"/>
              </w:rPr>
              <w:t>14.19万元</w:t>
            </w:r>
          </w:p>
        </w:tc>
        <w:tc>
          <w:tcPr>
            <w:tcW w:w="3036" w:type="dxa"/>
            <w:gridSpan w:val="3"/>
            <w:tcBorders>
              <w:bottom w:val="single" w:color="auto" w:sz="4" w:space="0"/>
            </w:tcBorders>
            <w:vAlign w:val="center"/>
          </w:tcPr>
          <w:p>
            <w:pPr>
              <w:jc w:val="center"/>
              <w:rPr>
                <w:szCs w:val="21"/>
              </w:rPr>
            </w:pPr>
            <w:r>
              <w:rPr>
                <w:rFonts w:hint="eastAsia"/>
                <w:szCs w:val="21"/>
              </w:rPr>
              <w:t>14.19万元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szCs w:val="21"/>
              </w:rPr>
            </w:pPr>
            <w:r>
              <w:rPr>
                <w:rFonts w:hint="eastAsia"/>
                <w:szCs w:val="21"/>
              </w:rPr>
              <w:t>收益率</w:t>
            </w:r>
          </w:p>
        </w:tc>
        <w:tc>
          <w:tcPr>
            <w:tcW w:w="1082" w:type="dxa"/>
            <w:gridSpan w:val="2"/>
            <w:tcBorders>
              <w:bottom w:val="single" w:color="auto" w:sz="4" w:space="0"/>
            </w:tcBorders>
            <w:vAlign w:val="center"/>
          </w:tcPr>
          <w:p>
            <w:pPr>
              <w:jc w:val="center"/>
              <w:rPr>
                <w:szCs w:val="21"/>
              </w:rPr>
            </w:pPr>
            <w:r>
              <w:rPr>
                <w:rFonts w:hint="eastAsia"/>
                <w:szCs w:val="21"/>
              </w:rPr>
              <w:t>5.12%</w:t>
            </w:r>
          </w:p>
        </w:tc>
        <w:tc>
          <w:tcPr>
            <w:tcW w:w="3036" w:type="dxa"/>
            <w:gridSpan w:val="3"/>
            <w:tcBorders>
              <w:bottom w:val="single" w:color="auto" w:sz="4" w:space="0"/>
            </w:tcBorders>
            <w:vAlign w:val="center"/>
          </w:tcPr>
          <w:p>
            <w:pPr>
              <w:jc w:val="center"/>
              <w:rPr>
                <w:szCs w:val="21"/>
              </w:rPr>
            </w:pPr>
            <w:r>
              <w:rPr>
                <w:rFonts w:hint="eastAsia"/>
                <w:szCs w:val="21"/>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restart"/>
            <w:vAlign w:val="center"/>
          </w:tcPr>
          <w:p>
            <w:pPr>
              <w:spacing w:line="360" w:lineRule="exact"/>
              <w:jc w:val="center"/>
              <w:rPr>
                <w:rFonts w:eastAsia="仿宋_GB2312"/>
                <w:sz w:val="24"/>
              </w:rPr>
            </w:pPr>
            <w:r>
              <w:rPr>
                <w:rFonts w:hint="eastAsia" w:eastAsia="仿宋_GB2312"/>
                <w:sz w:val="24"/>
              </w:rPr>
              <w:t>社会效益</w:t>
            </w:r>
          </w:p>
          <w:p>
            <w:pPr>
              <w:spacing w:line="360" w:lineRule="exact"/>
              <w:jc w:val="center"/>
              <w:rPr>
                <w:rFonts w:eastAsia="仿宋_GB2312"/>
                <w:sz w:val="24"/>
              </w:rPr>
            </w:pPr>
            <w:r>
              <w:rPr>
                <w:rFonts w:hint="eastAsia" w:eastAsia="仿宋_GB2312"/>
                <w:sz w:val="24"/>
              </w:rPr>
              <w:t>指标</w:t>
            </w:r>
          </w:p>
        </w:tc>
        <w:tc>
          <w:tcPr>
            <w:tcW w:w="1565" w:type="dxa"/>
            <w:gridSpan w:val="3"/>
            <w:tcBorders>
              <w:bottom w:val="single" w:color="auto" w:sz="4" w:space="0"/>
            </w:tcBorders>
            <w:vAlign w:val="center"/>
          </w:tcPr>
          <w:p>
            <w:pPr>
              <w:jc w:val="center"/>
              <w:rPr>
                <w:szCs w:val="21"/>
              </w:rPr>
            </w:pPr>
            <w:r>
              <w:rPr>
                <w:rFonts w:hint="eastAsia"/>
                <w:szCs w:val="21"/>
              </w:rPr>
              <w:t>新增就业</w:t>
            </w:r>
          </w:p>
        </w:tc>
        <w:tc>
          <w:tcPr>
            <w:tcW w:w="1082" w:type="dxa"/>
            <w:gridSpan w:val="2"/>
            <w:tcBorders>
              <w:bottom w:val="single" w:color="auto" w:sz="4" w:space="0"/>
            </w:tcBorders>
            <w:vAlign w:val="center"/>
          </w:tcPr>
          <w:p>
            <w:pPr>
              <w:jc w:val="center"/>
              <w:rPr>
                <w:szCs w:val="21"/>
              </w:rPr>
            </w:pPr>
            <w:r>
              <w:rPr>
                <w:rFonts w:hint="eastAsia"/>
                <w:szCs w:val="21"/>
              </w:rPr>
              <w:t>就业人数</w:t>
            </w:r>
          </w:p>
        </w:tc>
        <w:tc>
          <w:tcPr>
            <w:tcW w:w="3036" w:type="dxa"/>
            <w:gridSpan w:val="3"/>
            <w:tcBorders>
              <w:bottom w:val="single" w:color="auto" w:sz="4" w:space="0"/>
            </w:tcBorders>
            <w:vAlign w:val="center"/>
          </w:tcPr>
          <w:p>
            <w:pPr>
              <w:jc w:val="center"/>
              <w:rPr>
                <w:szCs w:val="21"/>
              </w:rPr>
            </w:pPr>
            <w:r>
              <w:rPr>
                <w:rFonts w:hint="eastAsia"/>
                <w:szCs w:val="21"/>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rFonts w:ascii="宋体" w:hAnsi="宋体" w:cs="宋体"/>
                <w:szCs w:val="21"/>
              </w:rPr>
            </w:pPr>
            <w:r>
              <w:rPr>
                <w:rFonts w:hint="eastAsia"/>
                <w:szCs w:val="21"/>
              </w:rPr>
              <w:t>改善条件</w:t>
            </w:r>
          </w:p>
        </w:tc>
        <w:tc>
          <w:tcPr>
            <w:tcW w:w="1082" w:type="dxa"/>
            <w:gridSpan w:val="2"/>
            <w:tcBorders>
              <w:bottom w:val="single" w:color="auto" w:sz="4" w:space="0"/>
            </w:tcBorders>
            <w:vAlign w:val="center"/>
          </w:tcPr>
          <w:p>
            <w:pPr>
              <w:jc w:val="center"/>
              <w:rPr>
                <w:rFonts w:ascii="宋体" w:hAnsi="宋体" w:cs="宋体"/>
                <w:szCs w:val="21"/>
              </w:rPr>
            </w:pPr>
            <w:r>
              <w:rPr>
                <w:rFonts w:hint="eastAsia"/>
                <w:szCs w:val="21"/>
              </w:rPr>
              <w:t>明显提高</w:t>
            </w:r>
          </w:p>
        </w:tc>
        <w:tc>
          <w:tcPr>
            <w:tcW w:w="3036" w:type="dxa"/>
            <w:gridSpan w:val="3"/>
            <w:tcBorders>
              <w:bottom w:val="single" w:color="auto" w:sz="4" w:space="0"/>
            </w:tcBorders>
            <w:vAlign w:val="center"/>
          </w:tcPr>
          <w:p>
            <w:pPr>
              <w:jc w:val="center"/>
              <w:rPr>
                <w:rFonts w:ascii="宋体" w:hAnsi="宋体" w:cs="宋体"/>
                <w:szCs w:val="21"/>
              </w:rPr>
            </w:pPr>
            <w:r>
              <w:rPr>
                <w:rFonts w:hint="eastAsia"/>
                <w:szCs w:val="21"/>
              </w:rPr>
              <w:t>明显提高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restart"/>
            <w:vAlign w:val="center"/>
          </w:tcPr>
          <w:p>
            <w:pPr>
              <w:spacing w:line="360" w:lineRule="exact"/>
              <w:jc w:val="center"/>
              <w:rPr>
                <w:rFonts w:eastAsia="仿宋_GB2312"/>
                <w:sz w:val="24"/>
              </w:rPr>
            </w:pPr>
            <w:r>
              <w:rPr>
                <w:rFonts w:hint="eastAsia" w:eastAsia="仿宋_GB2312"/>
                <w:sz w:val="24"/>
              </w:rPr>
              <w:t>生态效益</w:t>
            </w:r>
          </w:p>
          <w:p>
            <w:pPr>
              <w:spacing w:line="360" w:lineRule="exact"/>
              <w:jc w:val="center"/>
              <w:rPr>
                <w:rFonts w:eastAsia="仿宋_GB2312"/>
                <w:sz w:val="24"/>
              </w:rPr>
            </w:pPr>
            <w:r>
              <w:rPr>
                <w:rFonts w:hint="eastAsia" w:eastAsia="仿宋_GB2312"/>
                <w:sz w:val="24"/>
              </w:rPr>
              <w:t>指标</w:t>
            </w:r>
          </w:p>
        </w:tc>
        <w:tc>
          <w:tcPr>
            <w:tcW w:w="1565" w:type="dxa"/>
            <w:gridSpan w:val="3"/>
            <w:tcBorders>
              <w:bottom w:val="single" w:color="auto" w:sz="4" w:space="0"/>
            </w:tcBorders>
            <w:vAlign w:val="center"/>
          </w:tcPr>
          <w:p>
            <w:pPr>
              <w:jc w:val="center"/>
              <w:rPr>
                <w:rFonts w:ascii="宋体" w:hAnsi="宋体" w:cs="宋体"/>
                <w:szCs w:val="21"/>
              </w:rPr>
            </w:pPr>
            <w:r>
              <w:rPr>
                <w:rFonts w:hint="eastAsia"/>
                <w:szCs w:val="21"/>
              </w:rPr>
              <w:t>抗灾能力</w:t>
            </w:r>
          </w:p>
        </w:tc>
        <w:tc>
          <w:tcPr>
            <w:tcW w:w="1082" w:type="dxa"/>
            <w:gridSpan w:val="2"/>
            <w:tcBorders>
              <w:bottom w:val="single" w:color="auto" w:sz="4" w:space="0"/>
            </w:tcBorders>
            <w:vAlign w:val="center"/>
          </w:tcPr>
          <w:p>
            <w:pPr>
              <w:jc w:val="center"/>
              <w:rPr>
                <w:rFonts w:ascii="宋体" w:hAnsi="宋体" w:cs="宋体"/>
                <w:szCs w:val="21"/>
              </w:rPr>
            </w:pPr>
            <w:r>
              <w:rPr>
                <w:rFonts w:hint="eastAsia"/>
                <w:szCs w:val="21"/>
              </w:rPr>
              <w:t>明显提高</w:t>
            </w:r>
          </w:p>
        </w:tc>
        <w:tc>
          <w:tcPr>
            <w:tcW w:w="3036" w:type="dxa"/>
            <w:gridSpan w:val="3"/>
            <w:tcBorders>
              <w:bottom w:val="single" w:color="auto" w:sz="4" w:space="0"/>
            </w:tcBorders>
            <w:vAlign w:val="center"/>
          </w:tcPr>
          <w:p>
            <w:pPr>
              <w:jc w:val="center"/>
              <w:rPr>
                <w:rFonts w:ascii="宋体" w:hAnsi="宋体" w:cs="宋体"/>
                <w:szCs w:val="21"/>
              </w:rPr>
            </w:pPr>
            <w:r>
              <w:rPr>
                <w:rFonts w:hint="eastAsia"/>
                <w:szCs w:val="21"/>
              </w:rPr>
              <w:t>明显提高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rFonts w:ascii="宋体" w:hAnsi="宋体" w:cs="宋体"/>
                <w:szCs w:val="21"/>
              </w:rPr>
            </w:pPr>
            <w:r>
              <w:rPr>
                <w:rFonts w:hint="eastAsia"/>
                <w:szCs w:val="21"/>
              </w:rPr>
              <w:t>改善环境</w:t>
            </w:r>
          </w:p>
        </w:tc>
        <w:tc>
          <w:tcPr>
            <w:tcW w:w="1082" w:type="dxa"/>
            <w:gridSpan w:val="2"/>
            <w:tcBorders>
              <w:bottom w:val="single" w:color="auto" w:sz="4" w:space="0"/>
            </w:tcBorders>
            <w:vAlign w:val="center"/>
          </w:tcPr>
          <w:p>
            <w:pPr>
              <w:jc w:val="center"/>
              <w:rPr>
                <w:rFonts w:ascii="宋体" w:hAnsi="宋体" w:cs="宋体"/>
                <w:szCs w:val="21"/>
              </w:rPr>
            </w:pPr>
            <w:r>
              <w:rPr>
                <w:rFonts w:hint="eastAsia"/>
                <w:szCs w:val="21"/>
              </w:rPr>
              <w:t>明显提高</w:t>
            </w:r>
          </w:p>
        </w:tc>
        <w:tc>
          <w:tcPr>
            <w:tcW w:w="3036" w:type="dxa"/>
            <w:gridSpan w:val="3"/>
            <w:tcBorders>
              <w:bottom w:val="single" w:color="auto" w:sz="4" w:space="0"/>
            </w:tcBorders>
            <w:vAlign w:val="center"/>
          </w:tcPr>
          <w:p>
            <w:pPr>
              <w:jc w:val="center"/>
              <w:rPr>
                <w:rFonts w:ascii="宋体" w:hAnsi="宋体" w:cs="宋体"/>
                <w:szCs w:val="21"/>
              </w:rPr>
            </w:pPr>
            <w:r>
              <w:rPr>
                <w:rFonts w:hint="eastAsia"/>
                <w:szCs w:val="21"/>
              </w:rPr>
              <w:t>明显提高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restart"/>
            <w:vAlign w:val="center"/>
          </w:tcPr>
          <w:p>
            <w:pPr>
              <w:spacing w:line="360" w:lineRule="exact"/>
              <w:jc w:val="center"/>
              <w:rPr>
                <w:rFonts w:eastAsia="仿宋_GB2312"/>
                <w:sz w:val="24"/>
              </w:rPr>
            </w:pPr>
            <w:r>
              <w:rPr>
                <w:rFonts w:hint="eastAsia" w:eastAsia="仿宋_GB2312"/>
                <w:sz w:val="24"/>
              </w:rPr>
              <w:t>服务对象满意度指标</w:t>
            </w:r>
          </w:p>
        </w:tc>
        <w:tc>
          <w:tcPr>
            <w:tcW w:w="1565" w:type="dxa"/>
            <w:gridSpan w:val="3"/>
            <w:tcBorders>
              <w:bottom w:val="single" w:color="auto" w:sz="4" w:space="0"/>
            </w:tcBorders>
            <w:vAlign w:val="center"/>
          </w:tcPr>
          <w:p>
            <w:pPr>
              <w:jc w:val="center"/>
              <w:rPr>
                <w:rFonts w:ascii="宋体" w:hAnsi="宋体" w:cs="宋体"/>
                <w:szCs w:val="21"/>
              </w:rPr>
            </w:pPr>
            <w:r>
              <w:rPr>
                <w:rFonts w:hint="eastAsia" w:ascii="宋体" w:hAnsi="宋体" w:cs="宋体"/>
                <w:szCs w:val="21"/>
              </w:rPr>
              <w:t>废弃矿点负责人</w:t>
            </w:r>
          </w:p>
        </w:tc>
        <w:tc>
          <w:tcPr>
            <w:tcW w:w="1082" w:type="dxa"/>
            <w:gridSpan w:val="2"/>
            <w:tcBorders>
              <w:bottom w:val="single" w:color="auto" w:sz="4" w:space="0"/>
            </w:tcBorders>
            <w:vAlign w:val="center"/>
          </w:tcPr>
          <w:p>
            <w:pPr>
              <w:jc w:val="center"/>
              <w:rPr>
                <w:rFonts w:ascii="宋体" w:hAnsi="宋体" w:cs="宋体"/>
                <w:szCs w:val="21"/>
              </w:rPr>
            </w:pPr>
            <w:r>
              <w:rPr>
                <w:rFonts w:hint="eastAsia" w:ascii="宋体" w:hAnsi="宋体" w:cs="宋体"/>
                <w:szCs w:val="21"/>
              </w:rPr>
              <w:t>支持</w:t>
            </w:r>
          </w:p>
        </w:tc>
        <w:tc>
          <w:tcPr>
            <w:tcW w:w="3036" w:type="dxa"/>
            <w:gridSpan w:val="3"/>
            <w:tcBorders>
              <w:bottom w:val="single" w:color="auto" w:sz="4" w:space="0"/>
            </w:tcBorders>
            <w:vAlign w:val="center"/>
          </w:tcPr>
          <w:p>
            <w:pPr>
              <w:jc w:val="center"/>
              <w:rPr>
                <w:rFonts w:ascii="宋体" w:hAnsi="宋体" w:cs="宋体"/>
                <w:szCs w:val="21"/>
              </w:rPr>
            </w:pPr>
            <w:r>
              <w:rPr>
                <w:rFonts w:hint="eastAsia" w:ascii="宋体" w:hAnsi="宋体" w:cs="宋体"/>
                <w:szCs w:val="21"/>
              </w:rPr>
              <w:t>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vAlign w:val="center"/>
          </w:tcPr>
          <w:p>
            <w:pPr>
              <w:jc w:val="center"/>
              <w:rPr>
                <w:rFonts w:eastAsia="仿宋_GB2312"/>
                <w:sz w:val="24"/>
              </w:rPr>
            </w:pPr>
          </w:p>
        </w:tc>
        <w:tc>
          <w:tcPr>
            <w:tcW w:w="909" w:type="dxa"/>
            <w:gridSpan w:val="3"/>
            <w:vMerge w:val="continue"/>
            <w:vAlign w:val="center"/>
          </w:tcPr>
          <w:p>
            <w:pPr>
              <w:jc w:val="center"/>
              <w:rPr>
                <w:rFonts w:eastAsia="仿宋_GB2312"/>
                <w:sz w:val="24"/>
              </w:rPr>
            </w:pPr>
          </w:p>
        </w:tc>
        <w:tc>
          <w:tcPr>
            <w:tcW w:w="1517" w:type="dxa"/>
            <w:vMerge w:val="continue"/>
            <w:vAlign w:val="center"/>
          </w:tcPr>
          <w:p>
            <w:pPr>
              <w:spacing w:line="360" w:lineRule="exact"/>
              <w:jc w:val="center"/>
              <w:rPr>
                <w:rFonts w:eastAsia="仿宋_GB2312"/>
                <w:sz w:val="24"/>
              </w:rPr>
            </w:pPr>
          </w:p>
        </w:tc>
        <w:tc>
          <w:tcPr>
            <w:tcW w:w="1565" w:type="dxa"/>
            <w:gridSpan w:val="3"/>
            <w:tcBorders>
              <w:bottom w:val="single" w:color="auto" w:sz="4" w:space="0"/>
            </w:tcBorders>
            <w:vAlign w:val="center"/>
          </w:tcPr>
          <w:p>
            <w:pPr>
              <w:jc w:val="center"/>
              <w:rPr>
                <w:rFonts w:ascii="宋体" w:hAnsi="宋体" w:cs="宋体"/>
                <w:szCs w:val="21"/>
              </w:rPr>
            </w:pPr>
            <w:r>
              <w:rPr>
                <w:rFonts w:hint="eastAsia"/>
                <w:szCs w:val="21"/>
              </w:rPr>
              <w:t>群众感受</w:t>
            </w:r>
          </w:p>
        </w:tc>
        <w:tc>
          <w:tcPr>
            <w:tcW w:w="1082" w:type="dxa"/>
            <w:gridSpan w:val="2"/>
            <w:tcBorders>
              <w:bottom w:val="single" w:color="auto" w:sz="4" w:space="0"/>
            </w:tcBorders>
            <w:vAlign w:val="center"/>
          </w:tcPr>
          <w:p>
            <w:pPr>
              <w:jc w:val="center"/>
              <w:rPr>
                <w:rFonts w:ascii="宋体" w:hAnsi="宋体" w:cs="宋体"/>
                <w:szCs w:val="21"/>
              </w:rPr>
            </w:pPr>
            <w:r>
              <w:rPr>
                <w:rFonts w:hint="eastAsia" w:ascii="宋体" w:hAnsi="宋体" w:cs="宋体"/>
                <w:szCs w:val="21"/>
              </w:rPr>
              <w:t>满意</w:t>
            </w:r>
          </w:p>
        </w:tc>
        <w:tc>
          <w:tcPr>
            <w:tcW w:w="3036" w:type="dxa"/>
            <w:gridSpan w:val="3"/>
            <w:tcBorders>
              <w:bottom w:val="single" w:color="auto" w:sz="4" w:space="0"/>
            </w:tcBorders>
            <w:vAlign w:val="center"/>
          </w:tcPr>
          <w:p>
            <w:pPr>
              <w:jc w:val="center"/>
              <w:rPr>
                <w:rFonts w:ascii="宋体" w:hAnsi="宋体" w:cs="宋体"/>
                <w:szCs w:val="21"/>
              </w:rPr>
            </w:pPr>
            <w:r>
              <w:rPr>
                <w:rFonts w:hint="eastAsia"/>
                <w:szCs w:val="21"/>
              </w:rPr>
              <w:t>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382" w:type="dxa"/>
            <w:gridSpan w:val="4"/>
            <w:tcBorders>
              <w:bottom w:val="single" w:color="auto" w:sz="4" w:space="0"/>
            </w:tcBorders>
            <w:vAlign w:val="center"/>
          </w:tcPr>
          <w:p>
            <w:pPr>
              <w:jc w:val="center"/>
              <w:rPr>
                <w:rFonts w:eastAsia="仿宋_GB2312"/>
                <w:sz w:val="24"/>
              </w:rPr>
            </w:pPr>
            <w:r>
              <w:rPr>
                <w:rFonts w:hint="eastAsia" w:eastAsia="仿宋_GB2312"/>
                <w:bCs/>
                <w:sz w:val="24"/>
              </w:rPr>
              <w:t>绩效自评综合得分</w:t>
            </w:r>
          </w:p>
        </w:tc>
        <w:tc>
          <w:tcPr>
            <w:tcW w:w="7200" w:type="dxa"/>
            <w:gridSpan w:val="9"/>
            <w:tcBorders>
              <w:bottom w:val="single" w:color="auto" w:sz="4" w:space="0"/>
            </w:tcBorders>
            <w:vAlign w:val="center"/>
          </w:tcPr>
          <w:p>
            <w:pPr>
              <w:rPr>
                <w:rFonts w:eastAsia="仿宋_GB2312"/>
                <w:sz w:val="24"/>
              </w:rPr>
            </w:pPr>
            <w:r>
              <w:rPr>
                <w:rFonts w:hint="eastAsia" w:eastAsia="仿宋_GB2312"/>
                <w:sz w:val="24"/>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382" w:type="dxa"/>
            <w:gridSpan w:val="4"/>
            <w:tcBorders>
              <w:bottom w:val="single" w:color="auto" w:sz="4" w:space="0"/>
            </w:tcBorders>
            <w:vAlign w:val="center"/>
          </w:tcPr>
          <w:p>
            <w:pPr>
              <w:jc w:val="center"/>
              <w:rPr>
                <w:rFonts w:eastAsia="仿宋_GB2312"/>
                <w:bCs/>
                <w:sz w:val="24"/>
              </w:rPr>
            </w:pPr>
            <w:r>
              <w:rPr>
                <w:rFonts w:hint="eastAsia" w:eastAsia="仿宋_GB2312"/>
                <w:bCs/>
                <w:sz w:val="24"/>
              </w:rPr>
              <w:t>评价等次</w:t>
            </w:r>
          </w:p>
        </w:tc>
        <w:tc>
          <w:tcPr>
            <w:tcW w:w="7200" w:type="dxa"/>
            <w:gridSpan w:val="9"/>
            <w:tcBorders>
              <w:bottom w:val="single" w:color="auto" w:sz="4" w:space="0"/>
            </w:tcBorders>
            <w:vAlign w:val="center"/>
          </w:tcPr>
          <w:p>
            <w:pPr>
              <w:rPr>
                <w:rFonts w:eastAsia="仿宋_GB2312"/>
                <w:sz w:val="24"/>
              </w:rPr>
            </w:pPr>
            <w:r>
              <w:rPr>
                <w:rFonts w:hint="eastAsia" w:eastAsia="仿宋_GB2312"/>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582" w:type="dxa"/>
            <w:gridSpan w:val="13"/>
            <w:vAlign w:val="center"/>
          </w:tcPr>
          <w:p>
            <w:pPr>
              <w:jc w:val="center"/>
              <w:rPr>
                <w:rFonts w:eastAsia="仿宋_GB2312"/>
                <w:b/>
                <w:sz w:val="24"/>
              </w:rPr>
            </w:pPr>
            <w:r>
              <w:rPr>
                <w:rFonts w:hint="eastAsia" w:eastAsia="仿宋_GB2312"/>
                <w:b/>
                <w:sz w:val="24"/>
              </w:rPr>
              <w:t>四、评价人员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4" w:type="dxa"/>
            <w:gridSpan w:val="3"/>
            <w:vAlign w:val="center"/>
          </w:tcPr>
          <w:p>
            <w:pPr>
              <w:jc w:val="center"/>
              <w:rPr>
                <w:rFonts w:eastAsia="仿宋_GB2312"/>
                <w:sz w:val="24"/>
              </w:rPr>
            </w:pPr>
            <w:r>
              <w:rPr>
                <w:rFonts w:hint="eastAsia" w:eastAsia="仿宋_GB2312"/>
                <w:sz w:val="24"/>
              </w:rPr>
              <w:t>姓名</w:t>
            </w:r>
          </w:p>
        </w:tc>
        <w:tc>
          <w:tcPr>
            <w:tcW w:w="1942" w:type="dxa"/>
            <w:gridSpan w:val="3"/>
            <w:vAlign w:val="center"/>
          </w:tcPr>
          <w:p>
            <w:pPr>
              <w:jc w:val="center"/>
              <w:rPr>
                <w:rFonts w:eastAsia="仿宋_GB2312"/>
                <w:sz w:val="24"/>
              </w:rPr>
            </w:pPr>
            <w:r>
              <w:rPr>
                <w:rFonts w:hint="eastAsia" w:eastAsia="仿宋_GB2312"/>
                <w:sz w:val="24"/>
              </w:rPr>
              <w:t>职称/职务</w:t>
            </w:r>
          </w:p>
        </w:tc>
        <w:tc>
          <w:tcPr>
            <w:tcW w:w="2340" w:type="dxa"/>
            <w:gridSpan w:val="4"/>
            <w:vAlign w:val="center"/>
          </w:tcPr>
          <w:p>
            <w:pPr>
              <w:jc w:val="center"/>
              <w:rPr>
                <w:rFonts w:eastAsia="仿宋_GB2312"/>
                <w:sz w:val="24"/>
              </w:rPr>
            </w:pPr>
            <w:r>
              <w:rPr>
                <w:rFonts w:hint="eastAsia" w:eastAsia="仿宋_GB2312"/>
                <w:sz w:val="24"/>
              </w:rPr>
              <w:t>单  位</w:t>
            </w:r>
          </w:p>
        </w:tc>
        <w:tc>
          <w:tcPr>
            <w:tcW w:w="3036" w:type="dxa"/>
            <w:gridSpan w:val="3"/>
            <w:vAlign w:val="center"/>
          </w:tcPr>
          <w:p>
            <w:pPr>
              <w:jc w:val="center"/>
              <w:rPr>
                <w:rFonts w:eastAsia="仿宋_GB2312"/>
                <w:sz w:val="24"/>
              </w:rPr>
            </w:pPr>
            <w:r>
              <w:rPr>
                <w:rFonts w:hint="eastAsia"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4" w:type="dxa"/>
            <w:gridSpan w:val="3"/>
            <w:vAlign w:val="center"/>
          </w:tcPr>
          <w:p>
            <w:pPr>
              <w:jc w:val="center"/>
              <w:rPr>
                <w:rFonts w:eastAsia="仿宋_GB2312"/>
                <w:sz w:val="24"/>
              </w:rPr>
            </w:pPr>
            <w:r>
              <w:rPr>
                <w:rFonts w:hint="eastAsia" w:eastAsia="仿宋_GB2312"/>
                <w:sz w:val="24"/>
              </w:rPr>
              <w:t>刘巍</w:t>
            </w:r>
          </w:p>
        </w:tc>
        <w:tc>
          <w:tcPr>
            <w:tcW w:w="1942" w:type="dxa"/>
            <w:gridSpan w:val="3"/>
            <w:vAlign w:val="center"/>
          </w:tcPr>
          <w:p>
            <w:pPr>
              <w:jc w:val="center"/>
              <w:rPr>
                <w:rFonts w:eastAsia="仿宋_GB2312"/>
                <w:sz w:val="24"/>
              </w:rPr>
            </w:pPr>
            <w:r>
              <w:rPr>
                <w:rFonts w:hint="eastAsia" w:eastAsia="仿宋_GB2312"/>
                <w:sz w:val="24"/>
              </w:rPr>
              <w:t>股长</w:t>
            </w:r>
          </w:p>
        </w:tc>
        <w:tc>
          <w:tcPr>
            <w:tcW w:w="2340" w:type="dxa"/>
            <w:gridSpan w:val="4"/>
            <w:vAlign w:val="center"/>
          </w:tcPr>
          <w:p>
            <w:pPr>
              <w:jc w:val="center"/>
              <w:rPr>
                <w:rFonts w:eastAsia="仿宋_GB2312"/>
                <w:sz w:val="24"/>
              </w:rPr>
            </w:pPr>
            <w:r>
              <w:rPr>
                <w:rFonts w:hint="eastAsia" w:eastAsia="仿宋_GB2312"/>
                <w:sz w:val="24"/>
              </w:rPr>
              <w:t>云溪区自然资源局</w:t>
            </w:r>
          </w:p>
        </w:tc>
        <w:tc>
          <w:tcPr>
            <w:tcW w:w="3036" w:type="dxa"/>
            <w:gridSpan w:val="3"/>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4" w:type="dxa"/>
            <w:gridSpan w:val="3"/>
            <w:vAlign w:val="center"/>
          </w:tcPr>
          <w:p>
            <w:pPr>
              <w:jc w:val="center"/>
              <w:rPr>
                <w:rFonts w:eastAsia="仿宋_GB2312"/>
                <w:sz w:val="24"/>
              </w:rPr>
            </w:pPr>
            <w:r>
              <w:rPr>
                <w:rFonts w:hint="eastAsia" w:eastAsia="仿宋_GB2312"/>
                <w:sz w:val="24"/>
              </w:rPr>
              <w:t>伏广宇</w:t>
            </w:r>
          </w:p>
        </w:tc>
        <w:tc>
          <w:tcPr>
            <w:tcW w:w="1942" w:type="dxa"/>
            <w:gridSpan w:val="3"/>
            <w:vAlign w:val="center"/>
          </w:tcPr>
          <w:p>
            <w:pPr>
              <w:jc w:val="center"/>
              <w:rPr>
                <w:rFonts w:eastAsia="仿宋_GB2312"/>
                <w:sz w:val="24"/>
              </w:rPr>
            </w:pPr>
          </w:p>
        </w:tc>
        <w:tc>
          <w:tcPr>
            <w:tcW w:w="2340" w:type="dxa"/>
            <w:gridSpan w:val="4"/>
            <w:vAlign w:val="center"/>
          </w:tcPr>
          <w:p>
            <w:pPr>
              <w:jc w:val="center"/>
              <w:rPr>
                <w:rFonts w:eastAsia="仿宋_GB2312"/>
                <w:sz w:val="24"/>
              </w:rPr>
            </w:pPr>
            <w:r>
              <w:rPr>
                <w:rFonts w:hint="eastAsia" w:eastAsia="仿宋_GB2312"/>
                <w:sz w:val="24"/>
              </w:rPr>
              <w:t>云溪区自然资源局</w:t>
            </w:r>
          </w:p>
        </w:tc>
        <w:tc>
          <w:tcPr>
            <w:tcW w:w="3036" w:type="dxa"/>
            <w:gridSpan w:val="3"/>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4" w:type="dxa"/>
            <w:gridSpan w:val="3"/>
            <w:vAlign w:val="center"/>
          </w:tcPr>
          <w:p>
            <w:pPr>
              <w:jc w:val="center"/>
              <w:rPr>
                <w:rFonts w:eastAsia="仿宋_GB2312"/>
                <w:sz w:val="24"/>
              </w:rPr>
            </w:pPr>
            <w:r>
              <w:rPr>
                <w:rFonts w:hint="eastAsia" w:eastAsia="仿宋_GB2312"/>
                <w:sz w:val="24"/>
              </w:rPr>
              <w:t>刘磊</w:t>
            </w:r>
          </w:p>
        </w:tc>
        <w:tc>
          <w:tcPr>
            <w:tcW w:w="1942" w:type="dxa"/>
            <w:gridSpan w:val="3"/>
            <w:vAlign w:val="center"/>
          </w:tcPr>
          <w:p>
            <w:pPr>
              <w:jc w:val="center"/>
              <w:rPr>
                <w:rFonts w:eastAsia="仿宋_GB2312"/>
                <w:sz w:val="24"/>
              </w:rPr>
            </w:pPr>
          </w:p>
        </w:tc>
        <w:tc>
          <w:tcPr>
            <w:tcW w:w="2340" w:type="dxa"/>
            <w:gridSpan w:val="4"/>
            <w:vAlign w:val="center"/>
          </w:tcPr>
          <w:p>
            <w:pPr>
              <w:jc w:val="center"/>
              <w:rPr>
                <w:rFonts w:eastAsia="仿宋_GB2312"/>
                <w:sz w:val="24"/>
              </w:rPr>
            </w:pPr>
            <w:r>
              <w:rPr>
                <w:rFonts w:hint="eastAsia" w:eastAsia="仿宋_GB2312"/>
                <w:sz w:val="24"/>
              </w:rPr>
              <w:t>云溪区自然资源局</w:t>
            </w:r>
          </w:p>
        </w:tc>
        <w:tc>
          <w:tcPr>
            <w:tcW w:w="3036" w:type="dxa"/>
            <w:gridSpan w:val="3"/>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3"/>
            <w:vAlign w:val="center"/>
          </w:tcPr>
          <w:p>
            <w:pPr>
              <w:spacing w:line="440" w:lineRule="exact"/>
              <w:rPr>
                <w:rFonts w:eastAsia="仿宋_GB2312"/>
                <w:sz w:val="24"/>
              </w:rPr>
            </w:pPr>
            <w:r>
              <w:rPr>
                <w:rFonts w:hint="eastAsia" w:eastAsia="仿宋_GB2312"/>
                <w:sz w:val="24"/>
              </w:rPr>
              <w:t xml:space="preserve">评价组组长（签字）：         </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3"/>
            <w:tcBorders>
              <w:bottom w:val="single" w:color="auto" w:sz="4" w:space="0"/>
            </w:tcBorders>
          </w:tcPr>
          <w:p>
            <w:pPr>
              <w:spacing w:line="440" w:lineRule="exact"/>
              <w:rPr>
                <w:rFonts w:eastAsia="仿宋_GB2312"/>
                <w:sz w:val="24"/>
              </w:rPr>
            </w:pPr>
            <w:r>
              <w:rPr>
                <w:rFonts w:hint="eastAsia" w:eastAsia="仿宋_GB2312"/>
                <w:sz w:val="24"/>
              </w:rPr>
              <w:t>项目单位意见：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项目单位负责人（签章）：</w:t>
            </w:r>
          </w:p>
          <w:p>
            <w:pPr>
              <w:spacing w:line="440" w:lineRule="exact"/>
              <w:rPr>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3"/>
          </w:tcPr>
          <w:p>
            <w:pPr>
              <w:spacing w:line="440" w:lineRule="exact"/>
              <w:rPr>
                <w:rFonts w:eastAsia="仿宋_GB2312"/>
                <w:sz w:val="24"/>
              </w:rPr>
            </w:pPr>
            <w:r>
              <w:rPr>
                <w:rFonts w:hint="eastAsia" w:eastAsia="仿宋_GB2312"/>
                <w:sz w:val="24"/>
              </w:rPr>
              <w:t>主管部门意见：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主管部门负责人（签章）：</w:t>
            </w:r>
          </w:p>
          <w:p>
            <w:pPr>
              <w:spacing w:line="440" w:lineRule="exact"/>
              <w:rPr>
                <w:sz w:val="24"/>
              </w:rPr>
            </w:pPr>
            <w:r>
              <w:rPr>
                <w:rFonts w:hint="eastAsia"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exact"/>
          <w:jc w:val="center"/>
        </w:trPr>
        <w:tc>
          <w:tcPr>
            <w:tcW w:w="9582" w:type="dxa"/>
            <w:gridSpan w:val="13"/>
            <w:tcBorders>
              <w:bottom w:val="single" w:color="auto" w:sz="4" w:space="0"/>
            </w:tcBorders>
          </w:tcPr>
          <w:p>
            <w:pPr>
              <w:spacing w:line="440" w:lineRule="exact"/>
              <w:rPr>
                <w:rFonts w:eastAsia="仿宋_GB2312"/>
                <w:sz w:val="24"/>
              </w:rPr>
            </w:pPr>
            <w:r>
              <w:rPr>
                <w:rFonts w:hint="eastAsia" w:eastAsia="仿宋_GB2312"/>
                <w:sz w:val="24"/>
              </w:rPr>
              <w:t>财政部门归口业务科室意见：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财政部门归口业务科室负责人（签章）：</w:t>
            </w:r>
          </w:p>
          <w:p>
            <w:pPr>
              <w:spacing w:line="440" w:lineRule="exact"/>
              <w:rPr>
                <w:rFonts w:eastAsia="仿宋_GB2312"/>
                <w:sz w:val="24"/>
              </w:rPr>
            </w:pPr>
            <w:r>
              <w:rPr>
                <w:rFonts w:hint="eastAsia" w:eastAsia="仿宋_GB2312"/>
                <w:sz w:val="24"/>
              </w:rPr>
              <w:t xml:space="preserve">                                                              年   月   日</w:t>
            </w:r>
          </w:p>
        </w:tc>
      </w:tr>
    </w:tbl>
    <w:p>
      <w:pPr>
        <w:rPr>
          <w:rFonts w:eastAsia="仿宋_GB2312" w:cs="仿宋_GB2312"/>
          <w:bCs/>
          <w:sz w:val="28"/>
          <w:szCs w:val="28"/>
        </w:rPr>
      </w:pPr>
      <w:r>
        <w:rPr>
          <w:rFonts w:hint="eastAsia" w:eastAsia="仿宋_GB2312" w:cs="仿宋_GB2312"/>
          <w:bCs/>
          <w:sz w:val="28"/>
          <w:szCs w:val="28"/>
        </w:rPr>
        <w:t>填报人（签名）：                          联系电话：</w:t>
      </w:r>
    </w:p>
    <w:tbl>
      <w:tblPr>
        <w:tblStyle w:val="7"/>
        <w:tblW w:w="9514" w:type="dxa"/>
        <w:tblInd w:w="-6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djustRightInd w:val="0"/>
              <w:snapToGrid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长江经济带湖南省岳阳市云溪区段废弃</w:t>
            </w:r>
          </w:p>
          <w:p>
            <w:pPr>
              <w:adjustRightInd w:val="0"/>
              <w:snapToGrid w:val="0"/>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露天矿山生态修复项目评价报告综述</w:t>
            </w:r>
          </w:p>
          <w:p>
            <w:pPr>
              <w:adjustRightInd w:val="0"/>
              <w:snapToGrid w:val="0"/>
              <w:rPr>
                <w:rFonts w:ascii="方正小标宋简体" w:hAnsi="方正小标宋简体" w:eastAsia="方正小标宋简体" w:cs="方正小标宋简体"/>
                <w:sz w:val="28"/>
                <w:szCs w:val="28"/>
              </w:rPr>
            </w:pPr>
          </w:p>
          <w:p>
            <w:pPr>
              <w:adjustRightInd w:val="0"/>
              <w:snapToGrid w:val="0"/>
              <w:rPr>
                <w:rFonts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44"/>
                <w:szCs w:val="44"/>
              </w:rPr>
              <w:t xml:space="preserve">   </w:t>
            </w:r>
            <w:r>
              <w:rPr>
                <w:rFonts w:hint="eastAsia" w:ascii="仿宋_GB2312" w:hAnsi="仿宋_GB2312" w:eastAsia="仿宋_GB2312" w:cs="仿宋_GB2312"/>
                <w:sz w:val="28"/>
                <w:szCs w:val="28"/>
              </w:rPr>
              <w:t>一、基本情况</w:t>
            </w:r>
          </w:p>
          <w:p>
            <w:pPr>
              <w:adjustRightInd w:val="0"/>
              <w:snapToGrid w:val="0"/>
              <w:ind w:right="-250" w:rightChars="-119" w:firstLine="560" w:firstLineChars="200"/>
              <w:rPr>
                <w:rFonts w:ascii="仿宋_GB2312" w:hAnsi="仿宋_GB2312" w:cs="仿宋_GB2312"/>
                <w:bCs/>
                <w:sz w:val="28"/>
                <w:szCs w:val="28"/>
              </w:rPr>
            </w:pPr>
            <w:r>
              <w:rPr>
                <w:rFonts w:hint="eastAsia" w:ascii="仿宋_GB2312" w:hAnsi="仿宋_GB2312" w:eastAsia="仿宋_GB2312" w:cs="仿宋_GB2312"/>
                <w:bCs/>
                <w:sz w:val="28"/>
                <w:szCs w:val="28"/>
              </w:rPr>
              <w:t>长江经济带湖南省岳阳市云溪区段废弃露天矿山生态修复项目，项目位于陆城镇白泥湖村、丁山村、枫桥湖村、基隆村、陆城村；长岭街道东风村；云溪街道坪田村、建军村、胜利村；松杨湖街道滨湖村，项目区涉及4个镇（街道）10个行政村。该项目生态修复12个矿点17个图斑，修复总面积19.1562公顷；其中2019年区政府投入130万元，修复5个矿点，7个图斑，面积共计8.4845公顷，其中修复为耕地3.2430公顷（水田1.3951公顷，旱地1.8479公顷）；2020年中央财政投入270.53万元，修复7个矿点，10个图斑，面积共计10.6717公顷，其中修复为耕地3.0894公顷（水田2.9850公顷，旱地0.1044公顷）。</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sz w:val="28"/>
                <w:szCs w:val="28"/>
              </w:rPr>
              <w:t>二、项目资金使用情况及管理情况</w:t>
            </w:r>
          </w:p>
          <w:p>
            <w:pPr>
              <w:adjustRightInd w:val="0"/>
              <w:snapToGrid w:val="0"/>
              <w:ind w:right="-250" w:rightChars="-119" w:firstLine="560" w:firstLineChars="200"/>
              <w:rPr>
                <w:rFonts w:ascii="仿宋_GB2312" w:hAnsi="仿宋_GB2312" w:cs="仿宋_GB2312"/>
                <w:bCs/>
                <w:sz w:val="28"/>
                <w:szCs w:val="28"/>
              </w:rPr>
            </w:pPr>
            <w:r>
              <w:rPr>
                <w:rFonts w:hint="eastAsia" w:ascii="仿宋_GB2312" w:hAnsi="仿宋_GB2312" w:eastAsia="仿宋_GB2312" w:cs="仿宋_GB2312"/>
                <w:bCs/>
                <w:sz w:val="28"/>
                <w:szCs w:val="28"/>
              </w:rPr>
              <w:t>2020年6月16日岳阳市财政投资评审中心完成项目投资评审，出具了《关于岳阳市云溪区长江经济带废弃露天矿山生态修复项目预算评审意见》（YSCP2020-Y375），审定项目投资预算277.18万元；2020年8月19日完成项目招投标工作，核工业岳阳建设工程有限公司中标承建；项目自2020年8月25日开工建设至2020年10月10日竣工，实际完成投资270.53万元，结余资金6.65万元。</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sz w:val="28"/>
                <w:szCs w:val="28"/>
              </w:rPr>
              <w:t>三、项目组织实施情况</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为贯彻落实推动长江经济带发展领导小组第2次会议及领导小组办公室第3次会议精神，湖南省推运长江经济带发展领导小组办公室于2019年8月4日下发《关于做好我省长江经济带生态环境“举一反三”自查问题整改的通知》，建立了问题台账，压实了整改责任扎实推进整改工作。2020年3月25日湖南省财政厅、湖南省自然资源厅下发了《湖南省财政厅 湖南省自然资源厅关于调整提前下达2020年第一批中央重点生态修复治理专项资金的通知》（湘财资环指【2020】3号）文件，下达资金实施项目。</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为加快推进生态修复工作，2020年5月7日岳阳市长江经济带废弃露天矿山生态修复工作领导小组办公室下发《关于开展我市长江经济带废弃露天矿山生态修复、耕地保护督察整改及卫片执法工作督查的通知》文件，并于2020年5月11日对我区废弃露天矿山生态修复工作进行了督查，检查了我区领导小组成立情况、任务完成情况、工作管理制度和相关资料。</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为积极推进生态修复工作，2019年7月1日岳阳市云溪区人民政府办公室下发《关于成立岳阳市云溪区长江经济带废弃露天矿山生态修复工作领导小组的通知》（岳云政办函[2019]29号）文件，文件明确副区长周拥军任组长，区政府办副主任文晖、区自然资源和规划分局局长朱秘任副组长，相关局、乡镇分管领导任组员，领导项目实施。根据区政府领导要求2020年4月15日岳阳市云溪区人民政府督查室下发《关于我区废弃露天矿山生态修复工作的督查通报》，对项目计划进行调整，提出了存在问题和工作要求。</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2019年7月对云溪区废弃露天矿山完成建档立卡；2019年10月云溪区人民政府组织编制了《长江经济带废弃露天矿山生态修复岳阳市云溪区段2019-2020年度实施细则》；2020年3月编制了《长江经济带湖南省岳阳市云溪区段废弃露天矿山生态修复项目施工设计说明书》，部署了云溪区12个矿点17个图斑废弃露天矿山 “一矿一策”生态修复具体内容。</w:t>
            </w:r>
          </w:p>
          <w:p>
            <w:pPr>
              <w:adjustRightInd w:val="0"/>
              <w:snapToGrid w:val="0"/>
              <w:ind w:right="-250" w:rightChars="-119" w:firstLine="560" w:firstLineChars="200"/>
              <w:rPr>
                <w:rFonts w:ascii="仿宋_GB2312" w:hAnsi="仿宋_GB2312" w:cs="仿宋_GB2312"/>
                <w:bCs/>
                <w:sz w:val="28"/>
                <w:szCs w:val="28"/>
              </w:rPr>
            </w:pPr>
            <w:r>
              <w:rPr>
                <w:rFonts w:hint="eastAsia" w:ascii="仿宋_GB2312" w:hAnsi="仿宋_GB2312" w:eastAsia="仿宋_GB2312" w:cs="仿宋_GB2312"/>
                <w:bCs/>
                <w:sz w:val="28"/>
                <w:szCs w:val="28"/>
              </w:rPr>
              <w:t>2020年8月19日完成项目招投标工作，核工业岳阳建设工程有限公司中标承建；项目自2020年8月25日开工建设至2020年10月10日竣工。</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sz w:val="28"/>
                <w:szCs w:val="28"/>
              </w:rPr>
              <w:t>四、综合评价情况及评价结论</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云溪镇坪田村村民采点1、陆城镇基隆1、2号、长江河道整治点、陆城镇陆城村民采点共6个矿点生态修复为林、草地的矿点生态环境得到修复。</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云溪镇建军砖厂、云溪镇坪田村村民采点2、胜利砖厂共3个矿点盘活了土地，修复为建设用地5.0258公顷，陆城镇丁山砖厂、陆城镇泗垅村无名粘土矿、云溪镇滨湖村民采点、路口镇东风村民采点共4个矿点修复为耕地，新增耕地6.3324公顷为实现全区耕地总量动态平衡，促进我区经济发展具有积极意义。</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陆城镇基隆1、2号矿点在项目实施后边坡得到修整、治理，消除了地质灾害隐患。</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项目实施前我局征求了项目涉及的乡镇、村组意见，并分别与各矿点采矿相关人员（含债权人）及周边群众进行协商，宣传了废弃矿山生态修复的积极意义，项目实施后获得乡镇、村组及群众的一致好评。</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2020年11月2日岳阳市自然资源和规划局云溪区分局会同云溪区财政、农业农村、林业、生态环境等相关部门，对项目现场修复情况和验收资料进行了仔细核查，最终形成区级自检结论，结论为合格。</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2020年12月1日岳阳市自然资源和规划局会同岳阳市农业农村局、林业、生态环境等相关部门，并邀请专家组成验收组对项目进行了验收，验收结论为合格。</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sz w:val="28"/>
                <w:szCs w:val="28"/>
              </w:rPr>
              <w:t>五、项目主要绩效情况分析</w:t>
            </w:r>
          </w:p>
          <w:p>
            <w:pPr>
              <w:adjustRightInd w:val="0"/>
              <w:snapToGrid w:val="0"/>
              <w:ind w:right="-250" w:rightChars="-119" w:firstLine="560" w:firstLineChars="200"/>
              <w:rPr>
                <w:rFonts w:ascii="仿宋_GB2312" w:hAnsi="仿宋_GB2312" w:cs="仿宋_GB2312"/>
                <w:bCs/>
                <w:sz w:val="28"/>
                <w:szCs w:val="28"/>
              </w:rPr>
            </w:pPr>
            <w:r>
              <w:rPr>
                <w:rFonts w:hint="eastAsia" w:ascii="仿宋_GB2312" w:hAnsi="仿宋_GB2312" w:eastAsia="仿宋_GB2312" w:cs="仿宋_GB2312"/>
                <w:bCs/>
                <w:sz w:val="28"/>
                <w:szCs w:val="28"/>
              </w:rPr>
              <w:t>长江经济带湖南省岳阳市云溪区段废弃露天矿山生态修复项目生态修复12个矿点17个图斑，修复总面积19.1562公顷，（其中2019年已修复8.4845公顷，2020年修复10.6717公顷），修复后地类面积为：耕地6.3324公顷，水域0.1601公顷，交通运输用地0.3854公顷，林地4.0126公顷，草地2.7073公顷，农村宅基地0.5328公顷，建设用地5.0258公顷。</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sz w:val="28"/>
                <w:szCs w:val="28"/>
              </w:rPr>
              <w:t>六、主要经验及做法、存在问题和建议</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（一）以新增耕地指标收益促进矿山生态修复</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陆城镇丁山砖厂已废弃多年，原砖厂因债务纠纷一直未能拆除。为推进项目建设，经我局与陆城镇政府协商，征求原砖厂债权人的意见，以项目建设收益为来源，以乡镇为主体解决废弃砖厂历史遗留问题，在项目实施过程中得到乡镇、村组、群众各方大力支持。生态修复为耕地后产生的新增耕地指标出售获得的收益，作为乡镇拆迁、协调费用，一举解决了因砖厂债务纠纷造成的拆迁、动工困难。</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（二）盘活土地资源服务建设项目落地</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经区政府与项目投资方对接将废弃的胜利砖厂，作为项目建设用地用于项目建设。项目投资方承担费用，政府按程序进行征地、拆迁等程序，盘活土地资源服务建设项目落地。</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（三）结合项目周边环境积极利用其它部门项目加快废弃矿山修复</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陆城镇陆城村村民采点位地陆城村，矿点周边均为林地。矿点废弃后林业部门对矿区进行了复林作业。林业部门的主动参与对加快我区废弃矿山生态修复工作具有积极意义。</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（四）项目实施、管理等方面存在的问题及改进工作的建议。</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⑴、以生态修复收益促进生态修复工作，简化废弃矿山生态修复中产生的新增耕地作为新增耕地指标认定程序。</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⑵、以建设项目落地促进废弃矿山修复，建议对用地单位使用废弃矿山作为建设用地的进行政策护持。</w:t>
            </w:r>
          </w:p>
          <w:p>
            <w:pPr>
              <w:adjustRightInd w:val="0"/>
              <w:snapToGrid w:val="0"/>
              <w:ind w:right="-250" w:rightChars="-119"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⑶、积极利用自然资源部门项目如城乡建设用地增减挂钩、土地开发等项目加快废弃矿山生态修复工作。</w:t>
            </w:r>
          </w:p>
          <w:p>
            <w:pPr>
              <w:adjustRightInd w:val="0"/>
              <w:snapToGrid w:val="0"/>
              <w:ind w:right="-250" w:rightChars="-119" w:firstLine="560" w:firstLineChars="200"/>
              <w:rPr>
                <w:rFonts w:eastAsia="楷体_GB2312"/>
                <w:bCs/>
                <w:sz w:val="28"/>
                <w:szCs w:val="28"/>
              </w:rPr>
            </w:pPr>
            <w:r>
              <w:rPr>
                <w:rFonts w:hint="eastAsia" w:ascii="仿宋_GB2312" w:hAnsi="仿宋_GB2312" w:eastAsia="仿宋_GB2312" w:cs="仿宋_GB2312"/>
                <w:bCs/>
                <w:sz w:val="28"/>
                <w:szCs w:val="28"/>
              </w:rPr>
              <w:t>⑷、积极整合其它部门资金，加快推进废弃矿山生态修复工作。</w:t>
            </w:r>
          </w:p>
        </w:tc>
      </w:tr>
    </w:tbl>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rPr>
          <w:rFonts w:ascii="仿宋" w:hAnsi="仿宋" w:eastAsia="仿宋"/>
          <w:sz w:val="30"/>
          <w:szCs w:val="30"/>
        </w:rPr>
      </w:pPr>
      <w:r>
        <w:rPr>
          <w:rFonts w:hint="eastAsia" w:ascii="仿宋" w:hAnsi="仿宋" w:eastAsia="仿宋"/>
          <w:sz w:val="30"/>
          <w:szCs w:val="30"/>
        </w:rPr>
        <w:t>附件3-1</w:t>
      </w:r>
    </w:p>
    <w:p>
      <w:pPr>
        <w:spacing w:beforeLines="100" w:afterLines="100"/>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部门整体支出绩效评价评分表</w:t>
      </w:r>
    </w:p>
    <w:tbl>
      <w:tblPr>
        <w:tblStyle w:val="7"/>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 w:hAnsi="仿宋" w:eastAsia="仿宋" w:cs="宋体"/>
                <w:b/>
                <w:bCs/>
                <w:spacing w:val="-10"/>
                <w:kern w:val="0"/>
                <w:sz w:val="24"/>
              </w:rPr>
            </w:pPr>
            <w:r>
              <w:rPr>
                <w:rFonts w:hint="eastAsia" w:ascii="仿宋" w:hAnsi="仿宋" w:eastAsia="仿宋" w:cs="宋体"/>
                <w:b/>
                <w:bCs/>
                <w:spacing w:val="-10"/>
                <w:kern w:val="0"/>
                <w:sz w:val="24"/>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投  入</w:t>
            </w:r>
            <w:r>
              <w:rPr>
                <w:rFonts w:hint="eastAsia" w:ascii="仿宋" w:hAnsi="仿宋" w:eastAsia="仿宋" w:cs="宋体"/>
                <w:kern w:val="0"/>
                <w:sz w:val="24"/>
              </w:rPr>
              <w:br w:type="textWrapping"/>
            </w:r>
            <w:r>
              <w:rPr>
                <w:rFonts w:hint="eastAsia" w:ascii="仿宋" w:hAnsi="仿宋" w:eastAsia="仿宋" w:cs="宋体"/>
                <w:kern w:val="0"/>
                <w:sz w:val="24"/>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预算配置</w:t>
            </w:r>
            <w:r>
              <w:rPr>
                <w:rFonts w:hint="eastAsia" w:ascii="仿宋" w:hAnsi="仿宋" w:eastAsia="仿宋" w:cs="宋体"/>
                <w:kern w:val="0"/>
                <w:sz w:val="24"/>
              </w:rPr>
              <w:br w:type="textWrapping"/>
            </w:r>
            <w:r>
              <w:rPr>
                <w:rFonts w:hint="eastAsia" w:ascii="仿宋" w:hAnsi="仿宋" w:eastAsia="仿宋" w:cs="宋体"/>
                <w:kern w:val="0"/>
                <w:sz w:val="24"/>
              </w:rPr>
              <w:t>（15分）</w:t>
            </w: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财政供养人员</w:t>
            </w:r>
          </w:p>
          <w:p>
            <w:pPr>
              <w:widowControl/>
              <w:jc w:val="center"/>
              <w:rPr>
                <w:rFonts w:ascii="仿宋" w:hAnsi="仿宋" w:eastAsia="仿宋" w:cs="宋体"/>
                <w:kern w:val="0"/>
                <w:sz w:val="24"/>
              </w:rPr>
            </w:pPr>
            <w:r>
              <w:rPr>
                <w:rFonts w:hint="eastAsia" w:ascii="仿宋" w:hAnsi="仿宋" w:eastAsia="仿宋" w:cs="宋体"/>
                <w:kern w:val="0"/>
                <w:sz w:val="24"/>
              </w:rPr>
              <w:t>控制率</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以100%为标准。在职人员控制率≦100%，计5分；每超过一个百分点扣0.5分，扣完为止。</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720"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80"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“三公经费”</w:t>
            </w:r>
            <w:r>
              <w:rPr>
                <w:rFonts w:hint="eastAsia" w:ascii="仿宋" w:hAnsi="仿宋" w:eastAsia="仿宋" w:cs="宋体"/>
                <w:kern w:val="0"/>
                <w:sz w:val="24"/>
              </w:rPr>
              <w:br w:type="textWrapping"/>
            </w:r>
            <w:r>
              <w:rPr>
                <w:rFonts w:hint="eastAsia" w:ascii="仿宋" w:hAnsi="仿宋" w:eastAsia="仿宋" w:cs="宋体"/>
                <w:kern w:val="0"/>
                <w:sz w:val="24"/>
              </w:rPr>
              <w:t>变动率</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“三公经费”变动率≦0,计5分；</w:t>
            </w:r>
            <w:r>
              <w:rPr>
                <w:rFonts w:hint="eastAsia" w:ascii="仿宋" w:hAnsi="仿宋" w:eastAsia="仿宋" w:cs="宋体"/>
                <w:kern w:val="0"/>
                <w:sz w:val="24"/>
              </w:rPr>
              <w:br w:type="textWrapping"/>
            </w:r>
            <w:r>
              <w:rPr>
                <w:rFonts w:hint="eastAsia" w:ascii="仿宋" w:hAnsi="仿宋" w:eastAsia="仿宋" w:cs="宋体"/>
                <w:kern w:val="0"/>
                <w:sz w:val="24"/>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720"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80"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重点支出</w:t>
            </w:r>
            <w:r>
              <w:rPr>
                <w:rFonts w:hint="eastAsia" w:ascii="仿宋" w:hAnsi="仿宋" w:eastAsia="仿宋" w:cs="宋体"/>
                <w:kern w:val="0"/>
                <w:sz w:val="24"/>
              </w:rPr>
              <w:br w:type="textWrapping"/>
            </w:r>
            <w:r>
              <w:rPr>
                <w:rFonts w:hint="eastAsia" w:ascii="仿宋" w:hAnsi="仿宋" w:eastAsia="仿宋" w:cs="宋体"/>
                <w:kern w:val="0"/>
                <w:sz w:val="24"/>
              </w:rPr>
              <w:t>安排率</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720"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5</w:t>
            </w:r>
          </w:p>
        </w:tc>
        <w:tc>
          <w:tcPr>
            <w:tcW w:w="1080"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过  程</w:t>
            </w:r>
            <w:r>
              <w:rPr>
                <w:rFonts w:hint="eastAsia" w:ascii="仿宋" w:hAnsi="仿宋" w:eastAsia="仿宋" w:cs="宋体"/>
                <w:kern w:val="0"/>
                <w:sz w:val="24"/>
              </w:rPr>
              <w:br w:type="textWrapping"/>
            </w:r>
            <w:r>
              <w:rPr>
                <w:rFonts w:hint="eastAsia" w:ascii="仿宋" w:hAnsi="仿宋" w:eastAsia="仿宋" w:cs="宋体"/>
                <w:kern w:val="0"/>
                <w:sz w:val="24"/>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预算执行</w:t>
            </w:r>
            <w:r>
              <w:rPr>
                <w:rFonts w:hint="eastAsia" w:ascii="仿宋" w:hAnsi="仿宋" w:eastAsia="仿宋" w:cs="宋体"/>
                <w:kern w:val="0"/>
                <w:sz w:val="24"/>
              </w:rPr>
              <w:br w:type="textWrapping"/>
            </w:r>
            <w:r>
              <w:rPr>
                <w:rFonts w:hint="eastAsia" w:ascii="仿宋" w:hAnsi="仿宋" w:eastAsia="仿宋" w:cs="宋体"/>
                <w:kern w:val="0"/>
                <w:sz w:val="24"/>
              </w:rPr>
              <w:t>（15分）</w:t>
            </w: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预算调整率</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支付进度</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春节前下达全部专项资金的50%；6月底前所有专项资金指标全部下达完。</w:t>
            </w:r>
            <w:r>
              <w:rPr>
                <w:rFonts w:hint="eastAsia" w:ascii="仿宋" w:hAnsi="仿宋" w:eastAsia="仿宋" w:cs="宋体"/>
                <w:kern w:val="0"/>
                <w:sz w:val="24"/>
              </w:rPr>
              <w:br w:type="textWrapping"/>
            </w:r>
            <w:r>
              <w:rPr>
                <w:rFonts w:hint="eastAsia" w:ascii="仿宋" w:hAnsi="仿宋" w:eastAsia="仿宋" w:cs="宋体"/>
                <w:kern w:val="0"/>
                <w:sz w:val="24"/>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资金结余</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“三公经费”</w:t>
            </w:r>
            <w:r>
              <w:rPr>
                <w:rFonts w:hint="eastAsia" w:ascii="仿宋" w:hAnsi="仿宋" w:eastAsia="仿宋" w:cs="宋体"/>
                <w:kern w:val="0"/>
                <w:sz w:val="24"/>
              </w:rPr>
              <w:br w:type="textWrapping"/>
            </w:r>
            <w:r>
              <w:rPr>
                <w:rFonts w:hint="eastAsia" w:ascii="仿宋" w:hAnsi="仿宋" w:eastAsia="仿宋" w:cs="宋体"/>
                <w:kern w:val="0"/>
                <w:sz w:val="24"/>
              </w:rPr>
              <w:t>控制率</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以100%为标准。三公经费控制率≦100%，计6分；</w:t>
            </w:r>
            <w:r>
              <w:rPr>
                <w:rFonts w:hint="eastAsia" w:ascii="仿宋" w:hAnsi="仿宋" w:eastAsia="仿宋" w:cs="宋体"/>
                <w:kern w:val="0"/>
                <w:sz w:val="24"/>
              </w:rPr>
              <w:br w:type="textWrapping"/>
            </w:r>
            <w:r>
              <w:rPr>
                <w:rFonts w:hint="eastAsia" w:ascii="仿宋" w:hAnsi="仿宋" w:eastAsia="仿宋" w:cs="宋体"/>
                <w:kern w:val="0"/>
                <w:sz w:val="24"/>
              </w:rPr>
              <w:t>每超过一个百分点扣1分，扣完为止。</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6</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6</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预算管理</w:t>
            </w:r>
            <w:r>
              <w:rPr>
                <w:rFonts w:hint="eastAsia" w:ascii="仿宋" w:hAnsi="仿宋" w:eastAsia="仿宋" w:cs="宋体"/>
                <w:kern w:val="0"/>
                <w:sz w:val="24"/>
              </w:rPr>
              <w:br w:type="textWrapping"/>
            </w:r>
            <w:r>
              <w:rPr>
                <w:rFonts w:hint="eastAsia" w:ascii="仿宋" w:hAnsi="仿宋" w:eastAsia="仿宋" w:cs="宋体"/>
                <w:kern w:val="0"/>
                <w:sz w:val="24"/>
              </w:rPr>
              <w:t>（15分）</w:t>
            </w: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管理制度</w:t>
            </w:r>
            <w:r>
              <w:rPr>
                <w:rFonts w:hint="eastAsia" w:ascii="仿宋" w:hAnsi="仿宋" w:eastAsia="仿宋" w:cs="宋体"/>
                <w:kern w:val="0"/>
                <w:sz w:val="24"/>
              </w:rPr>
              <w:br w:type="textWrapping"/>
            </w:r>
            <w:r>
              <w:rPr>
                <w:rFonts w:hint="eastAsia" w:ascii="仿宋" w:hAnsi="仿宋" w:eastAsia="仿宋" w:cs="宋体"/>
                <w:kern w:val="0"/>
                <w:sz w:val="24"/>
              </w:rPr>
              <w:t>健全性</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①已制定或具有预算资金管理办法，内部财务管理制度、会计核算制度等管理制度，1分；</w:t>
            </w:r>
            <w:r>
              <w:rPr>
                <w:rFonts w:hint="eastAsia" w:ascii="仿宋" w:hAnsi="仿宋" w:eastAsia="仿宋" w:cs="宋体"/>
                <w:kern w:val="0"/>
                <w:sz w:val="24"/>
              </w:rPr>
              <w:br w:type="textWrapping"/>
            </w:r>
            <w:r>
              <w:rPr>
                <w:rFonts w:hint="eastAsia" w:ascii="仿宋" w:hAnsi="仿宋" w:eastAsia="仿宋" w:cs="宋体"/>
                <w:kern w:val="0"/>
                <w:sz w:val="24"/>
              </w:rPr>
              <w:t>②相关管理制度合法、合规、完整，1分；</w:t>
            </w:r>
            <w:r>
              <w:rPr>
                <w:rFonts w:hint="eastAsia" w:ascii="仿宋" w:hAnsi="仿宋" w:eastAsia="仿宋" w:cs="宋体"/>
                <w:kern w:val="0"/>
                <w:sz w:val="24"/>
              </w:rPr>
              <w:br w:type="textWrapping"/>
            </w:r>
            <w:r>
              <w:rPr>
                <w:rFonts w:hint="eastAsia" w:ascii="仿宋" w:hAnsi="仿宋" w:eastAsia="仿宋" w:cs="宋体"/>
                <w:kern w:val="0"/>
                <w:sz w:val="24"/>
              </w:rPr>
              <w:t>③相关管理制度得到有效执行，1分。</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资金使用</w:t>
            </w:r>
            <w:r>
              <w:rPr>
                <w:rFonts w:hint="eastAsia" w:ascii="仿宋" w:hAnsi="仿宋" w:eastAsia="仿宋" w:cs="宋体"/>
                <w:kern w:val="0"/>
                <w:sz w:val="24"/>
              </w:rPr>
              <w:br w:type="textWrapping"/>
            </w:r>
            <w:r>
              <w:rPr>
                <w:rFonts w:hint="eastAsia" w:ascii="仿宋" w:hAnsi="仿宋" w:eastAsia="仿宋" w:cs="宋体"/>
                <w:kern w:val="0"/>
                <w:sz w:val="24"/>
              </w:rPr>
              <w:t>合规性</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①支出符合国家财经法规和财务管理制度规定以及有关专项资金管理办法的规定；</w:t>
            </w:r>
            <w:r>
              <w:rPr>
                <w:rFonts w:hint="eastAsia" w:ascii="仿宋" w:hAnsi="仿宋" w:eastAsia="仿宋" w:cs="宋体"/>
                <w:kern w:val="0"/>
                <w:sz w:val="24"/>
              </w:rPr>
              <w:br w:type="textWrapping"/>
            </w:r>
            <w:r>
              <w:rPr>
                <w:rFonts w:hint="eastAsia" w:ascii="仿宋" w:hAnsi="仿宋" w:eastAsia="仿宋" w:cs="宋体"/>
                <w:kern w:val="0"/>
                <w:sz w:val="24"/>
              </w:rPr>
              <w:t>②资金拨付有完整的审批程序和手续；</w:t>
            </w:r>
            <w:r>
              <w:rPr>
                <w:rFonts w:hint="eastAsia" w:ascii="仿宋" w:hAnsi="仿宋" w:eastAsia="仿宋" w:cs="宋体"/>
                <w:kern w:val="0"/>
                <w:sz w:val="24"/>
              </w:rPr>
              <w:br w:type="textWrapping"/>
            </w:r>
            <w:r>
              <w:rPr>
                <w:rFonts w:hint="eastAsia" w:ascii="仿宋" w:hAnsi="仿宋" w:eastAsia="仿宋" w:cs="宋体"/>
                <w:kern w:val="0"/>
                <w:sz w:val="24"/>
              </w:rPr>
              <w:t>③项目支出按规定经过评估论证；</w:t>
            </w:r>
            <w:r>
              <w:rPr>
                <w:rFonts w:hint="eastAsia" w:ascii="仿宋" w:hAnsi="仿宋" w:eastAsia="仿宋" w:cs="宋体"/>
                <w:kern w:val="0"/>
                <w:sz w:val="24"/>
              </w:rPr>
              <w:br w:type="textWrapping"/>
            </w:r>
            <w:r>
              <w:rPr>
                <w:rFonts w:hint="eastAsia" w:ascii="仿宋" w:hAnsi="仿宋" w:eastAsia="仿宋" w:cs="宋体"/>
                <w:kern w:val="0"/>
                <w:sz w:val="24"/>
              </w:rPr>
              <w:t>④支出符合部门预算批复的用途；</w:t>
            </w:r>
            <w:r>
              <w:rPr>
                <w:rFonts w:hint="eastAsia" w:ascii="仿宋" w:hAnsi="仿宋" w:eastAsia="仿宋" w:cs="宋体"/>
                <w:kern w:val="0"/>
                <w:sz w:val="24"/>
              </w:rPr>
              <w:br w:type="textWrapping"/>
            </w:r>
            <w:r>
              <w:rPr>
                <w:rFonts w:hint="eastAsia" w:ascii="仿宋" w:hAnsi="仿宋" w:eastAsia="仿宋" w:cs="宋体"/>
                <w:spacing w:val="-6"/>
                <w:kern w:val="0"/>
                <w:sz w:val="24"/>
              </w:rPr>
              <w:t>⑤资金使用无截留、挤占、挪用、虚列支出等情况。</w:t>
            </w:r>
            <w:r>
              <w:rPr>
                <w:rFonts w:hint="eastAsia" w:ascii="仿宋" w:hAnsi="仿宋" w:eastAsia="仿宋" w:cs="宋体"/>
                <w:spacing w:val="-6"/>
                <w:kern w:val="0"/>
                <w:sz w:val="24"/>
              </w:rPr>
              <w:br w:type="textWrapping"/>
            </w:r>
            <w:r>
              <w:rPr>
                <w:rFonts w:hint="eastAsia" w:ascii="仿宋" w:hAnsi="仿宋" w:eastAsia="仿宋" w:cs="宋体"/>
                <w:spacing w:val="-6"/>
                <w:kern w:val="0"/>
                <w:sz w:val="24"/>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3</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24"/>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pStyle w:val="18"/>
              <w:widowControl/>
              <w:numPr>
                <w:ilvl w:val="0"/>
                <w:numId w:val="2"/>
              </w:numPr>
              <w:ind w:firstLineChars="0"/>
              <w:jc w:val="left"/>
              <w:rPr>
                <w:rFonts w:ascii="仿宋" w:hAnsi="仿宋" w:eastAsia="仿宋" w:cs="宋体"/>
                <w:kern w:val="0"/>
                <w:sz w:val="24"/>
              </w:rPr>
            </w:pPr>
            <w:r>
              <w:rPr>
                <w:rFonts w:hint="eastAsia" w:ascii="仿宋" w:hAnsi="仿宋" w:eastAsia="仿宋" w:cs="宋体"/>
                <w:kern w:val="0"/>
                <w:sz w:val="24"/>
              </w:rPr>
              <w:t>规定内容公开预决算信息，1分；</w:t>
            </w:r>
            <w:r>
              <w:rPr>
                <w:rFonts w:hint="eastAsia" w:ascii="仿宋" w:hAnsi="仿宋" w:eastAsia="仿宋" w:cs="宋体"/>
                <w:kern w:val="0"/>
                <w:sz w:val="24"/>
              </w:rPr>
              <w:br w:type="textWrapping"/>
            </w:r>
            <w:r>
              <w:rPr>
                <w:rFonts w:hint="eastAsia" w:ascii="仿宋" w:hAnsi="仿宋" w:eastAsia="仿宋" w:cs="宋体"/>
                <w:kern w:val="0"/>
                <w:sz w:val="24"/>
              </w:rPr>
              <w:t>②按规定时限公开预决算信息，0.5分；</w:t>
            </w:r>
            <w:r>
              <w:rPr>
                <w:rFonts w:hint="eastAsia" w:ascii="仿宋" w:hAnsi="仿宋" w:eastAsia="仿宋" w:cs="宋体"/>
                <w:kern w:val="0"/>
                <w:sz w:val="24"/>
              </w:rPr>
              <w:br w:type="textWrapping"/>
            </w:r>
            <w:r>
              <w:rPr>
                <w:rFonts w:hint="eastAsia" w:ascii="仿宋" w:hAnsi="仿宋" w:eastAsia="仿宋" w:cs="宋体"/>
                <w:kern w:val="0"/>
                <w:sz w:val="24"/>
              </w:rPr>
              <w:t>③基础数据信息和会计信息资料真实，0.5分；</w:t>
            </w:r>
            <w:r>
              <w:rPr>
                <w:rFonts w:hint="eastAsia" w:ascii="仿宋" w:hAnsi="仿宋" w:eastAsia="仿宋" w:cs="宋体"/>
                <w:kern w:val="0"/>
                <w:sz w:val="24"/>
              </w:rPr>
              <w:br w:type="textWrapping"/>
            </w:r>
            <w:r>
              <w:rPr>
                <w:rFonts w:hint="eastAsia" w:ascii="仿宋" w:hAnsi="仿宋" w:eastAsia="仿宋" w:cs="宋体"/>
                <w:kern w:val="0"/>
                <w:sz w:val="24"/>
              </w:rPr>
              <w:t>④基础数据信息和会计信息资料完整，0.5分；</w:t>
            </w:r>
            <w:r>
              <w:rPr>
                <w:rFonts w:hint="eastAsia" w:ascii="仿宋" w:hAnsi="仿宋" w:eastAsia="仿宋" w:cs="宋体"/>
                <w:kern w:val="0"/>
                <w:sz w:val="24"/>
              </w:rPr>
              <w:br w:type="textWrapping"/>
            </w:r>
            <w:r>
              <w:rPr>
                <w:rFonts w:hint="eastAsia" w:ascii="仿宋" w:hAnsi="仿宋" w:eastAsia="仿宋" w:cs="宋体"/>
                <w:kern w:val="0"/>
                <w:sz w:val="24"/>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　</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政府采购</w:t>
            </w:r>
          </w:p>
          <w:p>
            <w:pPr>
              <w:widowControl/>
              <w:jc w:val="center"/>
              <w:rPr>
                <w:rFonts w:ascii="仿宋" w:hAnsi="仿宋" w:eastAsia="仿宋" w:cs="宋体"/>
                <w:kern w:val="0"/>
                <w:sz w:val="24"/>
              </w:rPr>
            </w:pPr>
            <w:r>
              <w:rPr>
                <w:rFonts w:hint="eastAsia" w:ascii="仿宋" w:hAnsi="仿宋" w:eastAsia="仿宋" w:cs="宋体"/>
                <w:kern w:val="0"/>
                <w:sz w:val="24"/>
              </w:rPr>
              <w:t>执行率</w:t>
            </w:r>
          </w:p>
        </w:tc>
        <w:tc>
          <w:tcPr>
            <w:tcW w:w="4171"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政府采购执行率等于100%的，得3分；</w:t>
            </w:r>
            <w:r>
              <w:rPr>
                <w:rFonts w:hint="eastAsia" w:ascii="仿宋" w:hAnsi="仿宋" w:eastAsia="仿宋" w:cs="宋体"/>
                <w:kern w:val="0"/>
                <w:sz w:val="24"/>
              </w:rPr>
              <w:br w:type="textWrapping"/>
            </w:r>
            <w:r>
              <w:rPr>
                <w:rFonts w:hint="eastAsia" w:ascii="仿宋" w:hAnsi="仿宋" w:eastAsia="仿宋" w:cs="宋体"/>
                <w:kern w:val="0"/>
                <w:sz w:val="24"/>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公务卡刷卡率达50％以上的，得3分。</w:t>
            </w:r>
            <w:r>
              <w:rPr>
                <w:rFonts w:hint="eastAsia" w:ascii="仿宋" w:hAnsi="仿宋" w:eastAsia="仿宋" w:cs="宋体"/>
                <w:kern w:val="0"/>
                <w:sz w:val="24"/>
              </w:rPr>
              <w:br w:type="textWrapping"/>
            </w:r>
            <w:r>
              <w:rPr>
                <w:rFonts w:hint="eastAsia" w:ascii="仿宋" w:hAnsi="仿宋" w:eastAsia="仿宋" w:cs="宋体"/>
                <w:kern w:val="0"/>
                <w:sz w:val="24"/>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资产管理</w:t>
            </w:r>
            <w:r>
              <w:rPr>
                <w:rFonts w:hint="eastAsia" w:ascii="仿宋" w:hAnsi="仿宋" w:eastAsia="仿宋" w:cs="宋体"/>
                <w:kern w:val="0"/>
                <w:sz w:val="24"/>
              </w:rPr>
              <w:br w:type="textWrapping"/>
            </w:r>
            <w:r>
              <w:rPr>
                <w:rFonts w:hint="eastAsia" w:ascii="仿宋" w:hAnsi="仿宋" w:eastAsia="仿宋" w:cs="宋体"/>
                <w:kern w:val="0"/>
                <w:sz w:val="24"/>
              </w:rPr>
              <w:t>（10分）</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管理制度</w:t>
            </w:r>
            <w:r>
              <w:rPr>
                <w:rFonts w:hint="eastAsia" w:ascii="仿宋" w:hAnsi="仿宋" w:eastAsia="仿宋" w:cs="宋体"/>
                <w:kern w:val="0"/>
                <w:sz w:val="24"/>
              </w:rPr>
              <w:br w:type="textWrapping"/>
            </w:r>
            <w:r>
              <w:rPr>
                <w:rFonts w:hint="eastAsia" w:ascii="仿宋" w:hAnsi="仿宋" w:eastAsia="仿宋" w:cs="宋体"/>
                <w:kern w:val="0"/>
                <w:sz w:val="24"/>
              </w:rPr>
              <w:t>健全性</w:t>
            </w:r>
          </w:p>
        </w:tc>
        <w:tc>
          <w:tcPr>
            <w:tcW w:w="4171"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①已制定或具有资产管理制度，且相关资产管理制度合法、合规、完整，2分；</w:t>
            </w:r>
            <w:r>
              <w:rPr>
                <w:rFonts w:hint="eastAsia" w:ascii="仿宋" w:hAnsi="仿宋" w:eastAsia="仿宋" w:cs="宋体"/>
                <w:kern w:val="0"/>
                <w:sz w:val="24"/>
              </w:rPr>
              <w:br w:type="textWrapping"/>
            </w:r>
            <w:r>
              <w:rPr>
                <w:rFonts w:hint="eastAsia" w:ascii="仿宋" w:hAnsi="仿宋" w:eastAsia="仿宋" w:cs="宋体"/>
                <w:kern w:val="0"/>
                <w:sz w:val="24"/>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bl>
    <w:p>
      <w:pPr>
        <w:rPr>
          <w:rFonts w:ascii="仿宋" w:hAnsi="仿宋" w:eastAsia="仿宋"/>
          <w:sz w:val="24"/>
        </w:rPr>
      </w:pPr>
    </w:p>
    <w:tbl>
      <w:tblPr>
        <w:tblStyle w:val="7"/>
        <w:tblW w:w="0" w:type="auto"/>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 w:hAnsi="仿宋" w:eastAsia="仿宋" w:cs="宋体"/>
                <w:b/>
                <w:bCs/>
                <w:spacing w:val="-12"/>
                <w:kern w:val="0"/>
                <w:sz w:val="24"/>
              </w:rPr>
            </w:pPr>
            <w:r>
              <w:rPr>
                <w:rFonts w:hint="eastAsia" w:ascii="仿宋" w:hAnsi="仿宋" w:eastAsia="仿宋" w:cs="宋体"/>
                <w:b/>
                <w:bCs/>
                <w:spacing w:val="-12"/>
                <w:kern w:val="0"/>
                <w:sz w:val="24"/>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过  程</w:t>
            </w:r>
          </w:p>
          <w:p>
            <w:pPr>
              <w:widowControl/>
              <w:jc w:val="center"/>
              <w:rPr>
                <w:rFonts w:ascii="仿宋" w:hAnsi="仿宋" w:eastAsia="仿宋" w:cs="宋体"/>
                <w:kern w:val="0"/>
                <w:sz w:val="24"/>
              </w:rPr>
            </w:pPr>
            <w:r>
              <w:rPr>
                <w:rFonts w:hint="eastAsia" w:ascii="仿宋" w:hAnsi="仿宋" w:eastAsia="仿宋" w:cs="宋体"/>
                <w:kern w:val="0"/>
                <w:sz w:val="24"/>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资产管理</w:t>
            </w:r>
            <w:r>
              <w:rPr>
                <w:rFonts w:hint="eastAsia" w:ascii="仿宋" w:hAnsi="仿宋" w:eastAsia="仿宋" w:cs="宋体"/>
                <w:kern w:val="0"/>
                <w:sz w:val="24"/>
              </w:rPr>
              <w:br w:type="textWrapping"/>
            </w:r>
            <w:r>
              <w:rPr>
                <w:rFonts w:hint="eastAsia" w:ascii="仿宋" w:hAnsi="仿宋" w:eastAsia="仿宋" w:cs="宋体"/>
                <w:kern w:val="0"/>
                <w:sz w:val="24"/>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资产管理</w:t>
            </w:r>
            <w:r>
              <w:rPr>
                <w:rFonts w:hint="eastAsia" w:ascii="仿宋" w:hAnsi="仿宋" w:eastAsia="仿宋" w:cs="宋体"/>
                <w:kern w:val="0"/>
                <w:sz w:val="24"/>
              </w:rPr>
              <w:br w:type="textWrapping"/>
            </w:r>
            <w:r>
              <w:rPr>
                <w:rFonts w:hint="eastAsia" w:ascii="仿宋" w:hAnsi="仿宋" w:eastAsia="仿宋" w:cs="宋体"/>
                <w:kern w:val="0"/>
                <w:sz w:val="24"/>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①资产保存完整；</w:t>
            </w:r>
            <w:r>
              <w:rPr>
                <w:rFonts w:hint="eastAsia" w:ascii="仿宋" w:hAnsi="仿宋" w:eastAsia="仿宋" w:cs="宋体"/>
                <w:kern w:val="0"/>
                <w:sz w:val="24"/>
              </w:rPr>
              <w:br w:type="textWrapping"/>
            </w:r>
            <w:r>
              <w:rPr>
                <w:rFonts w:hint="eastAsia" w:ascii="仿宋" w:hAnsi="仿宋" w:eastAsia="仿宋" w:cs="宋体"/>
                <w:kern w:val="0"/>
                <w:sz w:val="24"/>
              </w:rPr>
              <w:t>②资产配置合理；</w:t>
            </w:r>
            <w:r>
              <w:rPr>
                <w:rFonts w:hint="eastAsia" w:ascii="仿宋" w:hAnsi="仿宋" w:eastAsia="仿宋" w:cs="宋体"/>
                <w:kern w:val="0"/>
                <w:sz w:val="24"/>
              </w:rPr>
              <w:br w:type="textWrapping"/>
            </w:r>
            <w:r>
              <w:rPr>
                <w:rFonts w:hint="eastAsia" w:ascii="仿宋" w:hAnsi="仿宋" w:eastAsia="仿宋" w:cs="宋体"/>
                <w:kern w:val="0"/>
                <w:sz w:val="24"/>
              </w:rPr>
              <w:t xml:space="preserve">③资产处置规范； </w:t>
            </w:r>
            <w:r>
              <w:rPr>
                <w:rFonts w:hint="eastAsia" w:ascii="仿宋" w:hAnsi="仿宋" w:eastAsia="仿宋" w:cs="宋体"/>
                <w:kern w:val="0"/>
                <w:sz w:val="24"/>
              </w:rPr>
              <w:br w:type="textWrapping"/>
            </w:r>
            <w:r>
              <w:rPr>
                <w:rFonts w:hint="eastAsia" w:ascii="仿宋" w:hAnsi="仿宋" w:eastAsia="仿宋" w:cs="宋体"/>
                <w:kern w:val="0"/>
                <w:sz w:val="24"/>
              </w:rPr>
              <w:t>④资产账务管理合规，帐实相符；</w:t>
            </w:r>
            <w:r>
              <w:rPr>
                <w:rFonts w:hint="eastAsia" w:ascii="仿宋" w:hAnsi="仿宋" w:eastAsia="仿宋" w:cs="宋体"/>
                <w:kern w:val="0"/>
                <w:sz w:val="24"/>
              </w:rPr>
              <w:br w:type="textWrapping"/>
            </w:r>
            <w:r>
              <w:rPr>
                <w:rFonts w:hint="eastAsia" w:ascii="仿宋" w:hAnsi="仿宋" w:eastAsia="仿宋" w:cs="宋体"/>
                <w:kern w:val="0"/>
                <w:sz w:val="24"/>
              </w:rPr>
              <w:t>⑤资产有偿使用及处置收入及时足额上缴；</w:t>
            </w:r>
            <w:r>
              <w:rPr>
                <w:rFonts w:hint="eastAsia" w:ascii="仿宋" w:hAnsi="仿宋" w:eastAsia="仿宋" w:cs="宋体"/>
                <w:kern w:val="0"/>
                <w:sz w:val="24"/>
              </w:rPr>
              <w:br w:type="textWrapping"/>
            </w:r>
            <w:r>
              <w:rPr>
                <w:rFonts w:hint="eastAsia" w:ascii="仿宋" w:hAnsi="仿宋" w:eastAsia="仿宋" w:cs="宋体"/>
                <w:kern w:val="0"/>
                <w:sz w:val="24"/>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固定资产</w:t>
            </w:r>
            <w:r>
              <w:rPr>
                <w:rFonts w:hint="eastAsia" w:ascii="仿宋" w:hAnsi="仿宋" w:eastAsia="仿宋" w:cs="宋体"/>
                <w:kern w:val="0"/>
                <w:sz w:val="24"/>
              </w:rPr>
              <w:br w:type="textWrapping"/>
            </w:r>
            <w:r>
              <w:rPr>
                <w:rFonts w:hint="eastAsia" w:ascii="仿宋" w:hAnsi="仿宋" w:eastAsia="仿宋" w:cs="宋体"/>
                <w:kern w:val="0"/>
                <w:sz w:val="24"/>
              </w:rPr>
              <w:t>利用率</w:t>
            </w:r>
          </w:p>
        </w:tc>
        <w:tc>
          <w:tcPr>
            <w:tcW w:w="4171"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职责履行</w:t>
            </w:r>
            <w:r>
              <w:rPr>
                <w:rFonts w:hint="eastAsia" w:ascii="仿宋" w:hAnsi="仿宋" w:eastAsia="仿宋" w:cs="宋体"/>
                <w:kern w:val="0"/>
                <w:sz w:val="24"/>
              </w:rPr>
              <w:br w:type="textWrapping"/>
            </w:r>
            <w:r>
              <w:rPr>
                <w:rFonts w:hint="eastAsia" w:ascii="仿宋" w:hAnsi="仿宋" w:eastAsia="仿宋" w:cs="宋体"/>
                <w:kern w:val="0"/>
                <w:sz w:val="24"/>
              </w:rPr>
              <w:t>（25分）</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此项指标根据《中共岳阳市委 岳阳市人民政府 关于做好岳阳市加快推进湖南发展新增长极建设2015年度综合绩效考评工作的通知》（岳发〔2015〕11号）和《中共岳阳市委 岳阳市人民政府 关于做好2015年度综合绩效考评工作的补充通知》（岳发〔2015〕19号）附件2第一大项“工作实绩指标”（700分）考核内容设置。</w:t>
            </w:r>
            <w:r>
              <w:rPr>
                <w:rFonts w:hint="eastAsia" w:ascii="仿宋" w:hAnsi="仿宋" w:eastAsia="仿宋" w:cs="宋体"/>
                <w:kern w:val="0"/>
                <w:sz w:val="24"/>
              </w:rPr>
              <w:br w:type="textWrapping"/>
            </w:r>
            <w:r>
              <w:rPr>
                <w:rFonts w:hint="eastAsia" w:ascii="仿宋" w:hAnsi="仿宋" w:eastAsia="仿宋" w:cs="宋体"/>
                <w:kern w:val="0"/>
                <w:sz w:val="24"/>
              </w:rPr>
              <w:t>部门单位应根据部门实际进行调整，并将其细化成相应的个性化指标。</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建设湖南新增极目标任务完成情况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7</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7</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《政府工作报告》目标任务完成情况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2</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2</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2</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2</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4</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4</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效  果</w:t>
            </w:r>
            <w:r>
              <w:rPr>
                <w:rFonts w:hint="eastAsia" w:ascii="仿宋" w:hAnsi="仿宋" w:eastAsia="仿宋" w:cs="宋体"/>
                <w:kern w:val="0"/>
                <w:sz w:val="24"/>
              </w:rPr>
              <w:br w:type="textWrapping"/>
            </w:r>
            <w:r>
              <w:rPr>
                <w:rFonts w:hint="eastAsia" w:ascii="仿宋" w:hAnsi="仿宋" w:eastAsia="仿宋" w:cs="宋体"/>
                <w:kern w:val="0"/>
                <w:sz w:val="24"/>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履职效益</w:t>
            </w:r>
            <w:r>
              <w:rPr>
                <w:rFonts w:hint="eastAsia" w:ascii="仿宋" w:hAnsi="仿宋" w:eastAsia="仿宋" w:cs="宋体"/>
                <w:kern w:val="0"/>
                <w:sz w:val="24"/>
              </w:rPr>
              <w:br w:type="textWrapping"/>
            </w:r>
            <w:r>
              <w:rPr>
                <w:rFonts w:hint="eastAsia" w:ascii="仿宋" w:hAnsi="仿宋" w:eastAsia="仿宋" w:cs="宋体"/>
                <w:kern w:val="0"/>
                <w:sz w:val="24"/>
              </w:rPr>
              <w:t>（20分）</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r>
              <w:rPr>
                <w:rFonts w:hint="eastAsia" w:ascii="仿宋" w:hAnsi="仿宋" w:eastAsia="仿宋" w:cs="宋体"/>
                <w:kern w:val="0"/>
                <w:sz w:val="24"/>
              </w:rPr>
              <w:t>此三项指标为设置部门整体支出绩效评价指标时必须考虑的共性要素。</w:t>
            </w:r>
          </w:p>
          <w:p>
            <w:pPr>
              <w:widowControl/>
              <w:jc w:val="left"/>
              <w:rPr>
                <w:rFonts w:ascii="仿宋" w:hAnsi="仿宋" w:eastAsia="仿宋" w:cs="宋体"/>
                <w:kern w:val="0"/>
                <w:sz w:val="24"/>
              </w:rPr>
            </w:pPr>
            <w:r>
              <w:rPr>
                <w:rFonts w:hint="eastAsia" w:ascii="仿宋" w:hAnsi="仿宋" w:eastAsia="仿宋" w:cs="宋体"/>
                <w:kern w:val="0"/>
                <w:sz w:val="24"/>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15</w:t>
            </w: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4"/>
              </w:rPr>
            </w:pPr>
            <w:r>
              <w:rPr>
                <w:rFonts w:hint="eastAsia" w:ascii="仿宋" w:hAnsi="仿宋" w:eastAsia="仿宋" w:cs="宋体"/>
                <w:kern w:val="0"/>
                <w:sz w:val="24"/>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 w:hAnsi="仿宋" w:eastAsia="仿宋" w:cs="宋体"/>
                <w:kern w:val="0"/>
                <w:sz w:val="24"/>
              </w:rPr>
            </w:pPr>
          </w:p>
        </w:tc>
        <w:tc>
          <w:tcPr>
            <w:tcW w:w="72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1080" w:type="dxa"/>
            <w:tcBorders>
              <w:top w:val="nil"/>
              <w:left w:val="nil"/>
              <w:bottom w:val="single" w:color="auto" w:sz="4" w:space="0"/>
              <w:right w:val="single" w:color="auto" w:sz="4" w:space="0"/>
            </w:tcBorders>
            <w:shd w:val="clear" w:color="auto" w:fill="FFFFFF"/>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939"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社会公众或服务对象满意度</w:t>
            </w:r>
          </w:p>
        </w:tc>
        <w:tc>
          <w:tcPr>
            <w:tcW w:w="4171" w:type="dxa"/>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r>
              <w:rPr>
                <w:rFonts w:hint="eastAsia" w:ascii="仿宋" w:hAnsi="仿宋" w:eastAsia="仿宋" w:cs="宋体"/>
                <w:kern w:val="0"/>
                <w:sz w:val="24"/>
              </w:rPr>
              <w:t>95%（含）以上计5分；</w:t>
            </w:r>
          </w:p>
          <w:p>
            <w:pPr>
              <w:widowControl/>
              <w:jc w:val="left"/>
              <w:rPr>
                <w:rFonts w:ascii="仿宋" w:hAnsi="仿宋" w:eastAsia="仿宋" w:cs="宋体"/>
                <w:kern w:val="0"/>
                <w:sz w:val="24"/>
              </w:rPr>
            </w:pPr>
            <w:r>
              <w:rPr>
                <w:rFonts w:hint="eastAsia" w:ascii="仿宋" w:hAnsi="仿宋" w:eastAsia="仿宋" w:cs="宋体"/>
                <w:kern w:val="0"/>
                <w:sz w:val="24"/>
              </w:rPr>
              <w:t>85%（含）-95%，计3分；</w:t>
            </w:r>
          </w:p>
          <w:p>
            <w:pPr>
              <w:widowControl/>
              <w:jc w:val="left"/>
              <w:rPr>
                <w:rFonts w:ascii="仿宋" w:hAnsi="仿宋" w:eastAsia="仿宋" w:cs="宋体"/>
                <w:kern w:val="0"/>
                <w:sz w:val="24"/>
              </w:rPr>
            </w:pPr>
            <w:r>
              <w:rPr>
                <w:rFonts w:hint="eastAsia" w:ascii="仿宋" w:hAnsi="仿宋" w:eastAsia="仿宋" w:cs="宋体"/>
                <w:kern w:val="0"/>
                <w:sz w:val="24"/>
              </w:rPr>
              <w:t>75%（含）-85%，计1分；</w:t>
            </w:r>
          </w:p>
          <w:p>
            <w:pPr>
              <w:widowControl/>
              <w:jc w:val="left"/>
              <w:rPr>
                <w:rFonts w:ascii="仿宋" w:hAnsi="仿宋" w:eastAsia="仿宋" w:cs="宋体"/>
                <w:kern w:val="0"/>
                <w:sz w:val="24"/>
              </w:rPr>
            </w:pPr>
            <w:r>
              <w:rPr>
                <w:rFonts w:hint="eastAsia" w:ascii="仿宋" w:hAnsi="仿宋" w:eastAsia="仿宋" w:cs="宋体"/>
                <w:kern w:val="0"/>
                <w:sz w:val="24"/>
              </w:rPr>
              <w:t>低于75%计0分。</w:t>
            </w: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5</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3</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总 分</w:t>
            </w:r>
          </w:p>
        </w:tc>
        <w:tc>
          <w:tcPr>
            <w:tcW w:w="939"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kern w:val="0"/>
                <w:sz w:val="24"/>
              </w:rPr>
            </w:pPr>
          </w:p>
        </w:tc>
        <w:tc>
          <w:tcPr>
            <w:tcW w:w="1389"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kern w:val="0"/>
                <w:sz w:val="24"/>
              </w:rPr>
            </w:pPr>
          </w:p>
        </w:tc>
        <w:tc>
          <w:tcPr>
            <w:tcW w:w="4171"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kern w:val="0"/>
                <w:sz w:val="24"/>
              </w:rPr>
            </w:pPr>
          </w:p>
        </w:tc>
        <w:tc>
          <w:tcPr>
            <w:tcW w:w="619"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spacing w:val="-8"/>
                <w:kern w:val="0"/>
                <w:sz w:val="24"/>
              </w:rPr>
            </w:pPr>
            <w:r>
              <w:rPr>
                <w:rFonts w:hint="eastAsia" w:ascii="仿宋" w:hAnsi="仿宋" w:eastAsia="仿宋" w:cs="宋体"/>
                <w:b/>
                <w:bCs/>
                <w:spacing w:val="-8"/>
                <w:kern w:val="0"/>
                <w:sz w:val="24"/>
              </w:rPr>
              <w:t>100</w:t>
            </w:r>
          </w:p>
        </w:tc>
        <w:tc>
          <w:tcPr>
            <w:tcW w:w="72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kern w:val="0"/>
                <w:sz w:val="24"/>
              </w:rPr>
            </w:pPr>
            <w:r>
              <w:rPr>
                <w:rFonts w:hint="eastAsia" w:ascii="仿宋" w:hAnsi="仿宋" w:eastAsia="仿宋" w:cs="宋体"/>
                <w:b/>
                <w:bCs/>
                <w:kern w:val="0"/>
                <w:sz w:val="24"/>
              </w:rPr>
              <w:t>98</w:t>
            </w:r>
          </w:p>
        </w:tc>
        <w:tc>
          <w:tcPr>
            <w:tcW w:w="108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kern w:val="0"/>
                <w:sz w:val="24"/>
              </w:rPr>
            </w:pPr>
          </w:p>
        </w:tc>
      </w:tr>
    </w:tbl>
    <w:p>
      <w:pPr>
        <w:spacing w:beforeLines="50"/>
        <w:rPr>
          <w:rFonts w:ascii="仿宋" w:hAnsi="仿宋" w:eastAsia="仿宋" w:cs="宋体"/>
          <w:kern w:val="0"/>
          <w:sz w:val="24"/>
        </w:rPr>
      </w:pPr>
      <w:r>
        <w:rPr>
          <w:rFonts w:hint="eastAsia" w:ascii="仿宋" w:hAnsi="仿宋" w:eastAsia="仿宋" w:cs="宋体"/>
          <w:kern w:val="0"/>
          <w:sz w:val="24"/>
        </w:rPr>
        <w:t>备注：如部门（单位）根据本部门实际情况修改调整了附件3《部门整体支出绩效评价指标体系（参考样表）》，须相应修改调整本表中的对应部分。</w:t>
      </w:r>
    </w:p>
    <w:p>
      <w:pPr>
        <w:spacing w:beforeLines="50"/>
        <w:rPr>
          <w:rFonts w:ascii="仿宋" w:hAnsi="仿宋" w:eastAsia="仿宋"/>
          <w:szCs w:val="21"/>
        </w:rPr>
      </w:pPr>
    </w:p>
    <w:p>
      <w:pPr>
        <w:spacing w:beforeLines="50"/>
        <w:rPr>
          <w:rFonts w:ascii="仿宋" w:hAnsi="仿宋" w:eastAsia="仿宋"/>
          <w:szCs w:val="21"/>
        </w:rPr>
      </w:pPr>
    </w:p>
    <w:p>
      <w:pPr>
        <w:spacing w:beforeLines="50"/>
        <w:rPr>
          <w:rFonts w:ascii="仿宋" w:hAnsi="仿宋" w:eastAsia="仿宋"/>
          <w:szCs w:val="21"/>
        </w:rPr>
      </w:pPr>
    </w:p>
    <w:p>
      <w:pPr>
        <w:spacing w:beforeLines="50"/>
        <w:rPr>
          <w:rFonts w:ascii="仿宋" w:hAnsi="仿宋" w:eastAsia="仿宋"/>
          <w:szCs w:val="21"/>
        </w:rPr>
      </w:pPr>
    </w:p>
    <w:p>
      <w:pPr>
        <w:spacing w:beforeLines="50"/>
        <w:rPr>
          <w:rFonts w:ascii="仿宋" w:hAnsi="仿宋" w:eastAsia="仿宋"/>
          <w:szCs w:val="21"/>
        </w:rPr>
      </w:pPr>
    </w:p>
    <w:p>
      <w:pPr>
        <w:spacing w:beforeLines="50"/>
        <w:rPr>
          <w:rFonts w:ascii="仿宋" w:hAnsi="仿宋" w:eastAsia="仿宋"/>
          <w:szCs w:val="21"/>
        </w:rPr>
      </w:pPr>
    </w:p>
    <w:p>
      <w:pPr>
        <w:spacing w:beforeLines="50"/>
        <w:rPr>
          <w:rFonts w:ascii="仿宋" w:hAnsi="仿宋" w:eastAsia="仿宋"/>
          <w:szCs w:val="21"/>
        </w:rPr>
      </w:pPr>
    </w:p>
    <w:p>
      <w:pPr>
        <w:rPr>
          <w:rFonts w:ascii="黑体" w:hAnsi="黑体" w:eastAsia="黑体"/>
          <w:sz w:val="32"/>
          <w:szCs w:val="32"/>
        </w:rPr>
      </w:pPr>
      <w:r>
        <w:rPr>
          <w:rFonts w:hint="eastAsia" w:ascii="黑体" w:hAnsi="黑体" w:eastAsia="黑体"/>
          <w:sz w:val="32"/>
          <w:szCs w:val="32"/>
        </w:rPr>
        <w:t>附件3-2</w:t>
      </w:r>
    </w:p>
    <w:p>
      <w:pPr>
        <w:spacing w:beforeLines="60" w:afterLines="60" w:line="560" w:lineRule="exact"/>
        <w:jc w:val="center"/>
        <w:rPr>
          <w:rFonts w:ascii="方正小标宋简体" w:eastAsia="方正小标宋简体"/>
          <w:sz w:val="38"/>
          <w:szCs w:val="38"/>
        </w:rPr>
      </w:pPr>
      <w:r>
        <w:rPr>
          <w:rFonts w:hint="eastAsia" w:ascii="方正小标宋简体" w:eastAsia="方正小标宋简体"/>
          <w:sz w:val="38"/>
          <w:szCs w:val="38"/>
        </w:rPr>
        <w:t>项目支出绩效评价指标体系</w:t>
      </w:r>
    </w:p>
    <w:tbl>
      <w:tblPr>
        <w:tblStyle w:val="7"/>
        <w:tblW w:w="0" w:type="auto"/>
        <w:jc w:val="center"/>
        <w:tblLayout w:type="fixed"/>
        <w:tblCellMar>
          <w:top w:w="0" w:type="dxa"/>
          <w:left w:w="108" w:type="dxa"/>
          <w:bottom w:w="0" w:type="dxa"/>
          <w:right w:w="108" w:type="dxa"/>
        </w:tblCellMar>
      </w:tblPr>
      <w:tblGrid>
        <w:gridCol w:w="702"/>
        <w:gridCol w:w="540"/>
        <w:gridCol w:w="703"/>
        <w:gridCol w:w="540"/>
        <w:gridCol w:w="803"/>
        <w:gridCol w:w="550"/>
        <w:gridCol w:w="2407"/>
        <w:gridCol w:w="2772"/>
        <w:gridCol w:w="803"/>
      </w:tblGrid>
      <w:tr>
        <w:tblPrEx>
          <w:tblCellMar>
            <w:top w:w="0" w:type="dxa"/>
            <w:left w:w="108" w:type="dxa"/>
            <w:bottom w:w="0" w:type="dxa"/>
            <w:right w:w="108" w:type="dxa"/>
          </w:tblCellMar>
        </w:tblPrEx>
        <w:trPr>
          <w:trHeight w:val="582"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5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18"/>
                <w:szCs w:val="18"/>
              </w:rPr>
              <w:t>得分</w:t>
            </w:r>
          </w:p>
        </w:tc>
      </w:tr>
      <w:tr>
        <w:tblPrEx>
          <w:tblCellMar>
            <w:top w:w="0" w:type="dxa"/>
            <w:left w:w="108" w:type="dxa"/>
            <w:bottom w:w="0" w:type="dxa"/>
            <w:right w:w="108" w:type="dxa"/>
          </w:tblCellMar>
        </w:tblPrEx>
        <w:trPr>
          <w:trHeight w:val="967" w:hRule="atLeast"/>
          <w:jc w:val="center"/>
        </w:trPr>
        <w:tc>
          <w:tcPr>
            <w:tcW w:w="702"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项目决策</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703" w:type="dxa"/>
            <w:tcBorders>
              <w:top w:val="nil"/>
              <w:left w:val="nil"/>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项目目标</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目标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内容</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设立了项目绩效目标；目标明确；目标细化；目标量化</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①设有目标（1分）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②目标明确（1分）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③目标细化（1分）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④目标量化（1分）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4</w:t>
            </w:r>
          </w:p>
        </w:tc>
      </w:tr>
      <w:tr>
        <w:tblPrEx>
          <w:tblCellMar>
            <w:top w:w="0" w:type="dxa"/>
            <w:left w:w="108" w:type="dxa"/>
            <w:bottom w:w="0" w:type="dxa"/>
            <w:right w:w="108" w:type="dxa"/>
          </w:tblCellMar>
        </w:tblPrEx>
        <w:trPr>
          <w:trHeight w:val="1277"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决策过程</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依据</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有关法律法规的明确规定；某一经济社会发展规划；某部门年度工作计划；某一实际问题和需求</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①符合法律法规（1分）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②符合经济社会发展规划（1分）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③部门年度工作计划（1分）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④针对某一实际问题和需求（1分）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以上③需提供佐证资料。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4</w:t>
            </w:r>
          </w:p>
        </w:tc>
      </w:tr>
      <w:tr>
        <w:tblPrEx>
          <w:tblCellMar>
            <w:top w:w="0" w:type="dxa"/>
            <w:left w:w="108" w:type="dxa"/>
            <w:bottom w:w="0" w:type="dxa"/>
            <w:right w:w="108" w:type="dxa"/>
          </w:tblCellMar>
        </w:tblPrEx>
        <w:trPr>
          <w:trHeight w:val="983"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程序</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项目符合申报条件；申报、批复程序符合相关管理办法；项目调整履行了相应手续</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①符合申报条件（2分）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②项目申报、批复程序符合管理办法（1分）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③项目调整履行了相应手续（1分）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4</w:t>
            </w:r>
          </w:p>
        </w:tc>
      </w:tr>
      <w:tr>
        <w:tblPrEx>
          <w:tblCellMar>
            <w:top w:w="0" w:type="dxa"/>
            <w:left w:w="108" w:type="dxa"/>
            <w:bottom w:w="0" w:type="dxa"/>
            <w:right w:w="108" w:type="dxa"/>
          </w:tblCellMar>
        </w:tblPrEx>
        <w:trPr>
          <w:trHeight w:val="967"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资金分配</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分配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办法</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根据需要制定的相关资金管理办法；管理办法中有明确资金分配办法；资金分配因素全面、合理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①有相应的资金管理办法（1分）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②办法健全、规范（1分）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③因素全面合理（1分）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3</w:t>
            </w:r>
          </w:p>
        </w:tc>
      </w:tr>
      <w:tr>
        <w:tblPrEx>
          <w:tblCellMar>
            <w:top w:w="0" w:type="dxa"/>
            <w:left w:w="108" w:type="dxa"/>
            <w:bottom w:w="0" w:type="dxa"/>
            <w:right w:w="108" w:type="dxa"/>
          </w:tblCellMar>
        </w:tblPrEx>
        <w:trPr>
          <w:trHeight w:val="758"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分配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结果</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资金分配符合相关管理办法；分配结果公平合理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①符合分配办法（2分）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②分配公平合理（3分）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此项需提供相应的资金分配方案。</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5</w:t>
            </w:r>
          </w:p>
        </w:tc>
      </w:tr>
      <w:tr>
        <w:tblPrEx>
          <w:tblCellMar>
            <w:top w:w="0" w:type="dxa"/>
            <w:left w:w="108" w:type="dxa"/>
            <w:bottom w:w="0" w:type="dxa"/>
            <w:right w:w="108" w:type="dxa"/>
          </w:tblCellMar>
        </w:tblPrEx>
        <w:trPr>
          <w:trHeight w:val="438" w:hRule="atLeast"/>
          <w:jc w:val="center"/>
        </w:trPr>
        <w:tc>
          <w:tcPr>
            <w:tcW w:w="702"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项目管理 </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资金到位</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到位率</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实际到位/计划到位*100%</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根据项目资金的实际到位率计算得分（3分）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3</w:t>
            </w:r>
          </w:p>
        </w:tc>
      </w:tr>
      <w:tr>
        <w:tblPrEx>
          <w:tblCellMar>
            <w:top w:w="0" w:type="dxa"/>
            <w:left w:w="108" w:type="dxa"/>
            <w:bottom w:w="0" w:type="dxa"/>
            <w:right w:w="108" w:type="dxa"/>
          </w:tblCellMar>
        </w:tblPrEx>
        <w:trPr>
          <w:trHeight w:val="74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到位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资金及时到位；若未及时到位，是否影响项目进度</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①到位及时（2分）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10"/>
                <w:kern w:val="0"/>
                <w:sz w:val="18"/>
                <w:szCs w:val="18"/>
              </w:rPr>
              <w:t>②不及时但未影响项目进度 （1分）</w:t>
            </w:r>
            <w:r>
              <w:rPr>
                <w:rFonts w:hint="eastAsia" w:ascii="仿宋_GB2312" w:hAnsi="宋体" w:eastAsia="仿宋_GB2312" w:cs="宋体"/>
                <w:spacing w:val="-10"/>
                <w:kern w:val="0"/>
                <w:sz w:val="18"/>
                <w:szCs w:val="18"/>
              </w:rPr>
              <w:br w:type="textWrapping"/>
            </w:r>
            <w:r>
              <w:rPr>
                <w:rFonts w:hint="eastAsia" w:ascii="仿宋_GB2312" w:hAnsi="宋体" w:eastAsia="仿宋_GB2312" w:cs="宋体"/>
                <w:spacing w:val="-6"/>
                <w:kern w:val="0"/>
                <w:sz w:val="18"/>
                <w:szCs w:val="18"/>
              </w:rPr>
              <w:t>③不及时并影响项目进度（0.5分）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2</w:t>
            </w:r>
          </w:p>
        </w:tc>
      </w:tr>
      <w:tr>
        <w:tblPrEx>
          <w:tblCellMar>
            <w:top w:w="0" w:type="dxa"/>
            <w:left w:w="108" w:type="dxa"/>
            <w:bottom w:w="0" w:type="dxa"/>
            <w:right w:w="108" w:type="dxa"/>
          </w:tblCellMar>
        </w:tblPrEx>
        <w:trPr>
          <w:trHeight w:val="1168"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资金管理</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使用</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支出依据合规，无虚列项目支出情况；无截留挤占挪用情况；无超标准开支情况；无超预算情况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①虚列套取扣4-7分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②依据不合规扣2分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③截留、挤占、挪用扣3-6分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④超标准开支扣2-5分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⑤超预算扣2-5分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7</w:t>
            </w:r>
          </w:p>
        </w:tc>
      </w:tr>
      <w:tr>
        <w:tblPrEx>
          <w:tblCellMar>
            <w:top w:w="0" w:type="dxa"/>
            <w:left w:w="108" w:type="dxa"/>
            <w:bottom w:w="0" w:type="dxa"/>
            <w:right w:w="108" w:type="dxa"/>
          </w:tblCellMar>
        </w:tblPrEx>
        <w:trPr>
          <w:trHeight w:val="1041"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财务</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管理</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资金管理、费用支出等制度健全；制度执行严格；会计核算规范</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①财务制度健全（1分）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②严格执行制度（1分）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③会计核算规范（1分）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3</w:t>
            </w:r>
          </w:p>
        </w:tc>
      </w:tr>
      <w:tr>
        <w:tblPrEx>
          <w:tblCellMar>
            <w:top w:w="0" w:type="dxa"/>
            <w:left w:w="108" w:type="dxa"/>
            <w:bottom w:w="0" w:type="dxa"/>
            <w:right w:w="108" w:type="dxa"/>
          </w:tblCellMar>
        </w:tblPrEx>
        <w:trPr>
          <w:trHeight w:val="612" w:hRule="atLeast"/>
          <w:jc w:val="center"/>
        </w:trPr>
        <w:tc>
          <w:tcPr>
            <w:tcW w:w="702"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项目管理 </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703"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组织实施</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组织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机构</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机构健全、分工明确</w:t>
            </w:r>
          </w:p>
        </w:tc>
        <w:tc>
          <w:tcPr>
            <w:tcW w:w="2772" w:type="dxa"/>
            <w:tcBorders>
              <w:top w:val="nil"/>
              <w:left w:val="nil"/>
              <w:bottom w:val="single" w:color="000000" w:sz="4" w:space="0"/>
              <w:right w:val="single" w:color="000000" w:sz="4" w:space="0"/>
            </w:tcBorders>
            <w:shd w:val="clear" w:color="auto" w:fill="auto"/>
            <w:vAlign w:val="center"/>
          </w:tcPr>
          <w:p>
            <w:pPr>
              <w:pStyle w:val="18"/>
              <w:widowControl/>
              <w:numPr>
                <w:ilvl w:val="0"/>
                <w:numId w:val="3"/>
              </w:numPr>
              <w:spacing w:line="240" w:lineRule="exact"/>
              <w:ind w:firstLineChars="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构健全、分工明确  （1分）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1</w:t>
            </w:r>
          </w:p>
        </w:tc>
      </w:tr>
      <w:tr>
        <w:tblPrEx>
          <w:tblCellMar>
            <w:top w:w="0" w:type="dxa"/>
            <w:left w:w="108" w:type="dxa"/>
            <w:bottom w:w="0" w:type="dxa"/>
            <w:right w:w="108" w:type="dxa"/>
          </w:tblCellMar>
        </w:tblPrEx>
        <w:trPr>
          <w:trHeight w:val="730"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条件</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项目实施单位是否提供或具备了必备的人员、场地和设备等条件</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具备人员、场地、设备条件（1分）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1</w:t>
            </w:r>
          </w:p>
        </w:tc>
      </w:tr>
      <w:tr>
        <w:tblPrEx>
          <w:tblCellMar>
            <w:top w:w="0" w:type="dxa"/>
            <w:left w:w="108" w:type="dxa"/>
            <w:bottom w:w="0" w:type="dxa"/>
            <w:right w:w="108" w:type="dxa"/>
          </w:tblCellMar>
        </w:tblPrEx>
        <w:trPr>
          <w:trHeight w:val="730"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实施</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项目按计划开工；按计划进度开展；按计划完工</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①按计划开工（1分）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②按计划开展（1分）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③按计划完工（1分）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3</w:t>
            </w:r>
          </w:p>
        </w:tc>
      </w:tr>
      <w:tr>
        <w:tblPrEx>
          <w:tblCellMar>
            <w:top w:w="0" w:type="dxa"/>
            <w:left w:w="108" w:type="dxa"/>
            <w:bottom w:w="0" w:type="dxa"/>
            <w:right w:w="108" w:type="dxa"/>
          </w:tblCellMar>
        </w:tblPrEx>
        <w:trPr>
          <w:trHeight w:val="745"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制度</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项目管理制度健全；严格执行相关管理制度</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①管理制度健全（2分）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②制度执行严格（3分）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5</w:t>
            </w:r>
          </w:p>
        </w:tc>
      </w:tr>
      <w:tr>
        <w:tblPrEx>
          <w:tblCellMar>
            <w:top w:w="0" w:type="dxa"/>
            <w:left w:w="108" w:type="dxa"/>
            <w:bottom w:w="0" w:type="dxa"/>
            <w:right w:w="108" w:type="dxa"/>
          </w:tblCellMar>
        </w:tblPrEx>
        <w:trPr>
          <w:trHeight w:val="656" w:hRule="atLeast"/>
          <w:jc w:val="center"/>
        </w:trPr>
        <w:tc>
          <w:tcPr>
            <w:tcW w:w="70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50"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得分</w:t>
            </w:r>
          </w:p>
        </w:tc>
      </w:tr>
      <w:tr>
        <w:tblPrEx>
          <w:tblCellMar>
            <w:top w:w="0" w:type="dxa"/>
            <w:left w:w="108" w:type="dxa"/>
            <w:bottom w:w="0" w:type="dxa"/>
            <w:right w:w="108" w:type="dxa"/>
          </w:tblCellMar>
        </w:tblPrEx>
        <w:trPr>
          <w:trHeight w:val="1134" w:hRule="atLeast"/>
          <w:jc w:val="center"/>
        </w:trPr>
        <w:tc>
          <w:tcPr>
            <w:tcW w:w="702" w:type="dxa"/>
            <w:vMerge w:val="restart"/>
            <w:tcBorders>
              <w:top w:val="single" w:color="auto"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项目绩效</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55</w:t>
            </w:r>
          </w:p>
        </w:tc>
        <w:tc>
          <w:tcPr>
            <w:tcW w:w="703" w:type="dxa"/>
            <w:vMerge w:val="restart"/>
            <w:tcBorders>
              <w:top w:val="single" w:color="auto"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项目产出</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03"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数量</w:t>
            </w:r>
          </w:p>
        </w:tc>
        <w:tc>
          <w:tcPr>
            <w:tcW w:w="550"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目标完成率=目标完成数/预定目标数×100%</w:t>
            </w:r>
          </w:p>
        </w:tc>
        <w:tc>
          <w:tcPr>
            <w:tcW w:w="2772"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完成绩效目标100%得5分，未完成100%的同比例扣减。</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5</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质量</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目标完成质量=实际达到的效果/预定目标×100%</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项目产出质量达到绩效目标100%得4分，未完成100%的同比例扣减。</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3</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项目资金使用的预定目标是否如期完成，未完成的理由是否充分</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项目产出时效达到绩效目标得3分，未如期完成且无充分理由的扣3分。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3</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成本</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项目产出成本是否按绩效目标控制</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项目产出成本按绩效目标控制得3分，未完成的，按超支比例扣减。</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3</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项目效果</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w:t>
            </w: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指项目对国民经济和区域经济发展所带来的直接或间接效益等</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完成绩效目标设定的经济效益得8分，未完成的，按完成情况酌情扣分。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项目实施是否产生社会综合效益</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完成绩效目标设定的社会效益得8分，未完成的，按完成情况酌情扣分。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环境</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项目实施是否对环境产生积极或消极影响</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完成绩效目标设定的积极的环境效益得8分，未完成的，按完成情况酌情扣分。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可持续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影响</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项目实施对人、自然、资源是否带来可持续影响</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完成绩效设定目标的得8分，未完成的，按完成情况酌情扣分。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24"/>
              </w:rPr>
              <w:t>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服务</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对象</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满意度</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服务对象满意率=项目区被调查人数中表示满意的人数(户数)/ 被调查人数(户数)×100%</w:t>
            </w:r>
          </w:p>
        </w:tc>
        <w:tc>
          <w:tcPr>
            <w:tcW w:w="2772" w:type="dxa"/>
            <w:tcBorders>
              <w:top w:val="nil"/>
              <w:left w:val="nil"/>
              <w:bottom w:val="single" w:color="000000" w:sz="4" w:space="0"/>
              <w:right w:val="nil"/>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满意率达90%（含）以上的得8分，80%（含）-90%得6分，70%（含）-80%得4分，60%（含）-70%得2分，60%以下不得分。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4"/>
              </w:rPr>
            </w:pPr>
            <w:r>
              <w:rPr>
                <w:rFonts w:hint="eastAsia" w:ascii="宋体" w:hAnsi="宋体" w:cs="宋体"/>
                <w:kern w:val="0"/>
                <w:sz w:val="24"/>
              </w:rPr>
              <w:t>6</w:t>
            </w:r>
          </w:p>
        </w:tc>
      </w:tr>
      <w:tr>
        <w:tblPrEx>
          <w:tblCellMar>
            <w:top w:w="0" w:type="dxa"/>
            <w:left w:w="108" w:type="dxa"/>
            <w:bottom w:w="0" w:type="dxa"/>
            <w:right w:w="108" w:type="dxa"/>
          </w:tblCellMar>
        </w:tblPrEx>
        <w:trPr>
          <w:trHeight w:val="860" w:hRule="atLeast"/>
          <w:jc w:val="center"/>
        </w:trPr>
        <w:tc>
          <w:tcPr>
            <w:tcW w:w="702" w:type="dxa"/>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总分</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7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2407"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2772" w:type="dxa"/>
            <w:tcBorders>
              <w:top w:val="nil"/>
              <w:left w:val="nil"/>
              <w:bottom w:val="single" w:color="000000" w:sz="4" w:space="0"/>
              <w:right w:val="nil"/>
            </w:tcBorders>
            <w:vAlign w:val="center"/>
          </w:tcPr>
          <w:p>
            <w:pPr>
              <w:widowControl/>
              <w:spacing w:line="240" w:lineRule="exact"/>
              <w:jc w:val="center"/>
              <w:rPr>
                <w:rFonts w:ascii="仿宋_GB2312" w:hAnsi="宋体" w:eastAsia="仿宋_GB2312" w:cs="宋体"/>
                <w:b/>
                <w:bCs/>
                <w:kern w:val="0"/>
                <w:sz w:val="18"/>
                <w:szCs w:val="18"/>
              </w:rPr>
            </w:pP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cs="宋体"/>
                <w:b/>
                <w:bCs/>
                <w:kern w:val="0"/>
                <w:sz w:val="24"/>
              </w:rPr>
            </w:pPr>
            <w:r>
              <w:rPr>
                <w:rFonts w:hint="eastAsia" w:ascii="宋体" w:hAnsi="宋体" w:cs="宋体"/>
                <w:b/>
                <w:bCs/>
                <w:kern w:val="0"/>
                <w:sz w:val="24"/>
              </w:rPr>
              <w:t>97</w:t>
            </w:r>
          </w:p>
        </w:tc>
      </w:tr>
    </w:tbl>
    <w:p>
      <w:pPr>
        <w:adjustRightInd w:val="0"/>
        <w:snapToGrid w:val="0"/>
        <w:spacing w:beforeLines="50" w:line="200" w:lineRule="exact"/>
        <w:contextualSpacing/>
        <w:rPr>
          <w:rFonts w:ascii="仿宋_GB2312" w:eastAsia="仿宋_GB2312"/>
        </w:rPr>
      </w:pPr>
    </w:p>
    <w:p>
      <w:pPr>
        <w:adjustRightInd w:val="0"/>
        <w:snapToGrid w:val="0"/>
        <w:spacing w:beforeLines="50"/>
        <w:contextualSpacing/>
        <w:rPr>
          <w:rFonts w:eastAsia="仿宋_GB2312"/>
          <w:sz w:val="32"/>
        </w:rPr>
      </w:pPr>
      <w:r>
        <w:rPr>
          <w:rFonts w:hint="eastAsia" w:ascii="仿宋_GB2312" w:eastAsia="仿宋_GB2312"/>
        </w:rPr>
        <w:t>备注：部门（单位）根据项目实际，在《项目支出绩效评价指标体系（参考样表）》上进一步完善、量化、细化个性指标，形成本项目的指标体系。</w:t>
      </w:r>
    </w:p>
    <w:p/>
    <w:p/>
    <w:p>
      <w:pPr>
        <w:spacing w:beforeLines="50"/>
        <w:rPr>
          <w:rFonts w:ascii="仿宋" w:hAnsi="仿宋" w:eastAsia="仿宋"/>
          <w:szCs w:val="21"/>
        </w:rPr>
      </w:pPr>
    </w:p>
    <w:sectPr>
      <w:headerReference r:id="rId8" w:type="first"/>
      <w:footerReference r:id="rId11" w:type="first"/>
      <w:headerReference r:id="rId6" w:type="default"/>
      <w:footerReference r:id="rId9" w:type="default"/>
      <w:headerReference r:id="rId7" w:type="even"/>
      <w:footerReference r:id="rId10"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sz w:val="24"/>
        <w:szCs w:val="24"/>
      </w:rPr>
    </w:pPr>
    <w:r>
      <w:rPr>
        <w:rStyle w:val="9"/>
        <w:rFonts w:hint="eastAsia"/>
        <w:sz w:val="24"/>
        <w:szCs w:val="24"/>
      </w:rPr>
      <w:t xml:space="preserve">— </w:t>
    </w:r>
    <w:r>
      <w:rPr>
        <w:sz w:val="24"/>
        <w:szCs w:val="24"/>
      </w:rPr>
      <w:fldChar w:fldCharType="begin"/>
    </w:r>
    <w:r>
      <w:rPr>
        <w:rStyle w:val="9"/>
        <w:sz w:val="24"/>
        <w:szCs w:val="24"/>
      </w:rPr>
      <w:instrText xml:space="preserve">PAGE  </w:instrText>
    </w:r>
    <w:r>
      <w:rPr>
        <w:sz w:val="24"/>
        <w:szCs w:val="24"/>
      </w:rPr>
      <w:fldChar w:fldCharType="separate"/>
    </w:r>
    <w:r>
      <w:rPr>
        <w:rStyle w:val="9"/>
        <w:sz w:val="24"/>
        <w:szCs w:val="24"/>
      </w:rPr>
      <w:t>1</w:t>
    </w:r>
    <w:r>
      <w:rPr>
        <w:sz w:val="24"/>
        <w:szCs w:val="24"/>
      </w:rPr>
      <w:fldChar w:fldCharType="end"/>
    </w:r>
    <w:r>
      <w:rPr>
        <w:rStyle w:val="9"/>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6"/>
      <w:lvlText w:val="%1."/>
      <w:lvlJc w:val="left"/>
      <w:pPr>
        <w:tabs>
          <w:tab w:val="left" w:pos="780"/>
        </w:tabs>
        <w:ind w:left="780" w:hanging="360"/>
      </w:pPr>
    </w:lvl>
  </w:abstractNum>
  <w:abstractNum w:abstractNumId="1">
    <w:nsid w:val="16003910"/>
    <w:multiLevelType w:val="multilevel"/>
    <w:tmpl w:val="16003910"/>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0D190B"/>
    <w:multiLevelType w:val="multilevel"/>
    <w:tmpl w:val="4E0D190B"/>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204"/>
    <w:rsid w:val="0000445F"/>
    <w:rsid w:val="00007101"/>
    <w:rsid w:val="00014A85"/>
    <w:rsid w:val="000461D1"/>
    <w:rsid w:val="000E506F"/>
    <w:rsid w:val="000F0322"/>
    <w:rsid w:val="00111396"/>
    <w:rsid w:val="00124149"/>
    <w:rsid w:val="00140048"/>
    <w:rsid w:val="001A419E"/>
    <w:rsid w:val="001C2E2E"/>
    <w:rsid w:val="001C569B"/>
    <w:rsid w:val="001E4D5A"/>
    <w:rsid w:val="001E64FE"/>
    <w:rsid w:val="001F1A08"/>
    <w:rsid w:val="002034F5"/>
    <w:rsid w:val="00212010"/>
    <w:rsid w:val="002354F5"/>
    <w:rsid w:val="00240F75"/>
    <w:rsid w:val="00246DC3"/>
    <w:rsid w:val="00255603"/>
    <w:rsid w:val="002922C5"/>
    <w:rsid w:val="002A72B1"/>
    <w:rsid w:val="002D282E"/>
    <w:rsid w:val="002F3771"/>
    <w:rsid w:val="00306A0B"/>
    <w:rsid w:val="00331858"/>
    <w:rsid w:val="00343362"/>
    <w:rsid w:val="003671E1"/>
    <w:rsid w:val="00390C2F"/>
    <w:rsid w:val="00394906"/>
    <w:rsid w:val="003B3646"/>
    <w:rsid w:val="003B5159"/>
    <w:rsid w:val="003C4B6F"/>
    <w:rsid w:val="003C4D96"/>
    <w:rsid w:val="003D0FFA"/>
    <w:rsid w:val="003E6A8C"/>
    <w:rsid w:val="003F392A"/>
    <w:rsid w:val="003F5DBB"/>
    <w:rsid w:val="00440A04"/>
    <w:rsid w:val="00470824"/>
    <w:rsid w:val="0048086E"/>
    <w:rsid w:val="00481794"/>
    <w:rsid w:val="0049588C"/>
    <w:rsid w:val="004A4AD6"/>
    <w:rsid w:val="004F3717"/>
    <w:rsid w:val="00500CFE"/>
    <w:rsid w:val="00500DBD"/>
    <w:rsid w:val="005114DC"/>
    <w:rsid w:val="005278D6"/>
    <w:rsid w:val="00530756"/>
    <w:rsid w:val="005356CB"/>
    <w:rsid w:val="005369F8"/>
    <w:rsid w:val="0057630A"/>
    <w:rsid w:val="00596EBD"/>
    <w:rsid w:val="005C3177"/>
    <w:rsid w:val="005C32AD"/>
    <w:rsid w:val="00610C2F"/>
    <w:rsid w:val="0061192D"/>
    <w:rsid w:val="00654476"/>
    <w:rsid w:val="006626AD"/>
    <w:rsid w:val="00663D42"/>
    <w:rsid w:val="006B663E"/>
    <w:rsid w:val="006C30D3"/>
    <w:rsid w:val="006C4308"/>
    <w:rsid w:val="006D4A13"/>
    <w:rsid w:val="006F4256"/>
    <w:rsid w:val="00702E9A"/>
    <w:rsid w:val="00745204"/>
    <w:rsid w:val="00751646"/>
    <w:rsid w:val="00755C7D"/>
    <w:rsid w:val="007931D5"/>
    <w:rsid w:val="007A2F5D"/>
    <w:rsid w:val="007A5AB3"/>
    <w:rsid w:val="007E6FEC"/>
    <w:rsid w:val="007E7C3D"/>
    <w:rsid w:val="007F7E9A"/>
    <w:rsid w:val="00804022"/>
    <w:rsid w:val="008432C1"/>
    <w:rsid w:val="0084339E"/>
    <w:rsid w:val="00853E8C"/>
    <w:rsid w:val="00866C18"/>
    <w:rsid w:val="008822D6"/>
    <w:rsid w:val="00886C5F"/>
    <w:rsid w:val="008D5BDB"/>
    <w:rsid w:val="00903615"/>
    <w:rsid w:val="009175B2"/>
    <w:rsid w:val="0095081D"/>
    <w:rsid w:val="00985D96"/>
    <w:rsid w:val="009B3CD3"/>
    <w:rsid w:val="009B6EAF"/>
    <w:rsid w:val="009C0FD6"/>
    <w:rsid w:val="009D0AC4"/>
    <w:rsid w:val="009E3C6C"/>
    <w:rsid w:val="00A12730"/>
    <w:rsid w:val="00A335A4"/>
    <w:rsid w:val="00A35B70"/>
    <w:rsid w:val="00AB37FF"/>
    <w:rsid w:val="00AB492E"/>
    <w:rsid w:val="00AC20BE"/>
    <w:rsid w:val="00AD18F3"/>
    <w:rsid w:val="00AD4397"/>
    <w:rsid w:val="00B03C20"/>
    <w:rsid w:val="00B1310C"/>
    <w:rsid w:val="00B2402A"/>
    <w:rsid w:val="00B26DBD"/>
    <w:rsid w:val="00B34199"/>
    <w:rsid w:val="00B44180"/>
    <w:rsid w:val="00B81C7A"/>
    <w:rsid w:val="00BD75FA"/>
    <w:rsid w:val="00C201A6"/>
    <w:rsid w:val="00C2177D"/>
    <w:rsid w:val="00C371CC"/>
    <w:rsid w:val="00C37360"/>
    <w:rsid w:val="00C42A86"/>
    <w:rsid w:val="00C455FC"/>
    <w:rsid w:val="00C701CB"/>
    <w:rsid w:val="00C711C9"/>
    <w:rsid w:val="00C76A38"/>
    <w:rsid w:val="00C7744F"/>
    <w:rsid w:val="00C956EA"/>
    <w:rsid w:val="00CC2338"/>
    <w:rsid w:val="00CC74A8"/>
    <w:rsid w:val="00CE40F1"/>
    <w:rsid w:val="00CE7A81"/>
    <w:rsid w:val="00D116E3"/>
    <w:rsid w:val="00D46F1C"/>
    <w:rsid w:val="00D50FD0"/>
    <w:rsid w:val="00D6052D"/>
    <w:rsid w:val="00D92C8E"/>
    <w:rsid w:val="00DB2980"/>
    <w:rsid w:val="00DC32E3"/>
    <w:rsid w:val="00DC7D85"/>
    <w:rsid w:val="00DE6895"/>
    <w:rsid w:val="00E7549E"/>
    <w:rsid w:val="00E83D83"/>
    <w:rsid w:val="00E93087"/>
    <w:rsid w:val="00EA6A90"/>
    <w:rsid w:val="00EB0DFF"/>
    <w:rsid w:val="00EB7B73"/>
    <w:rsid w:val="00ED757F"/>
    <w:rsid w:val="00F20594"/>
    <w:rsid w:val="00F27270"/>
    <w:rsid w:val="00F6338C"/>
    <w:rsid w:val="00F64363"/>
    <w:rsid w:val="00FA5D6F"/>
    <w:rsid w:val="00FC3BF5"/>
    <w:rsid w:val="00FF6AAD"/>
    <w:rsid w:val="00FF7DF2"/>
    <w:rsid w:val="2C54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4"/>
    <w:unhideWhenUsed/>
    <w:qFormat/>
    <w:uiPriority w:val="99"/>
    <w:pPr>
      <w:ind w:firstLine="588" w:firstLineChars="200"/>
    </w:pPr>
    <w:rPr>
      <w:rFonts w:ascii="仿宋_GB2312" w:hAnsi="Calibri" w:eastAsia="仿宋_GB2312"/>
      <w:sz w:val="32"/>
    </w:rPr>
  </w:style>
  <w:style w:type="paragraph" w:styleId="3">
    <w:name w:val="Balloon Text"/>
    <w:basedOn w:val="1"/>
    <w:link w:val="17"/>
    <w:semiHidden/>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9">
    <w:name w:val="page number"/>
    <w:qFormat/>
    <w:uiPriority w:val="0"/>
  </w:style>
  <w:style w:type="character" w:customStyle="1" w:styleId="10">
    <w:name w:val="页眉 Char"/>
    <w:basedOn w:val="8"/>
    <w:link w:val="5"/>
    <w:qFormat/>
    <w:uiPriority w:val="0"/>
    <w:rPr>
      <w:rFonts w:ascii="Times New Roman" w:hAnsi="Times New Roman" w:eastAsia="宋体" w:cs="Times New Roman"/>
      <w:sz w:val="18"/>
      <w:szCs w:val="18"/>
    </w:rPr>
  </w:style>
  <w:style w:type="character" w:customStyle="1" w:styleId="11">
    <w:name w:val="页脚 Char"/>
    <w:basedOn w:val="8"/>
    <w:link w:val="4"/>
    <w:qFormat/>
    <w:uiPriority w:val="0"/>
    <w:rPr>
      <w:rFonts w:ascii="Times New Roman" w:hAnsi="Times New Roman" w:eastAsia="宋体" w:cs="Times New Roman"/>
      <w:sz w:val="18"/>
      <w:szCs w:val="18"/>
    </w:rPr>
  </w:style>
  <w:style w:type="character" w:customStyle="1" w:styleId="12">
    <w:name w:val="标题 3 Char Char"/>
    <w:qFormat/>
    <w:uiPriority w:val="0"/>
    <w:rPr>
      <w:rFonts w:eastAsia="楷体_GB2312"/>
      <w:b/>
      <w:kern w:val="2"/>
      <w:sz w:val="32"/>
      <w:szCs w:val="24"/>
      <w:lang w:val="en-US" w:eastAsia="zh-CN" w:bidi="ar-SA"/>
    </w:rPr>
  </w:style>
  <w:style w:type="paragraph" w:customStyle="1" w:styleId="13">
    <w:name w:val="Char"/>
    <w:basedOn w:val="1"/>
    <w:qFormat/>
    <w:uiPriority w:val="0"/>
    <w:pPr>
      <w:autoSpaceDE w:val="0"/>
      <w:autoSpaceDN w:val="0"/>
      <w:adjustRightInd w:val="0"/>
    </w:pPr>
    <w:rPr>
      <w:rFonts w:ascii="宋体" w:cs="宋体"/>
      <w:kern w:val="0"/>
      <w:sz w:val="20"/>
      <w:szCs w:val="20"/>
      <w:lang w:val="zh-CN"/>
    </w:rPr>
  </w:style>
  <w:style w:type="character" w:customStyle="1" w:styleId="14">
    <w:name w:val="正文文本缩进 2 Char"/>
    <w:basedOn w:val="8"/>
    <w:link w:val="2"/>
    <w:qFormat/>
    <w:uiPriority w:val="99"/>
    <w:rPr>
      <w:rFonts w:ascii="仿宋_GB2312" w:hAnsi="Calibri" w:eastAsia="仿宋_GB2312" w:cs="Times New Roman"/>
      <w:sz w:val="32"/>
      <w:szCs w:val="24"/>
    </w:rPr>
  </w:style>
  <w:style w:type="paragraph" w:customStyle="1" w:styleId="15">
    <w:name w:val="Char1"/>
    <w:basedOn w:val="1"/>
    <w:qFormat/>
    <w:uiPriority w:val="0"/>
    <w:rPr>
      <w:rFonts w:ascii="仿宋_GB2312" w:eastAsia="仿宋_GB2312"/>
      <w:sz w:val="32"/>
    </w:rPr>
  </w:style>
  <w:style w:type="paragraph" w:customStyle="1" w:styleId="16">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17">
    <w:name w:val="批注框文本 Char"/>
    <w:basedOn w:val="8"/>
    <w:link w:val="3"/>
    <w:semiHidden/>
    <w:qFormat/>
    <w:uiPriority w:val="0"/>
    <w:rPr>
      <w:rFonts w:ascii="Times New Roman" w:hAnsi="Times New Roman" w:eastAsia="宋体" w:cs="Times New Roman"/>
      <w:sz w:val="18"/>
      <w:szCs w:val="18"/>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2E891-BEB8-47A6-BF83-B006CDB524CC}">
  <ds:schemaRefs/>
</ds:datastoreItem>
</file>

<file path=docProps/app.xml><?xml version="1.0" encoding="utf-8"?>
<Properties xmlns="http://schemas.openxmlformats.org/officeDocument/2006/extended-properties" xmlns:vt="http://schemas.openxmlformats.org/officeDocument/2006/docPropsVTypes">
  <Template>Normal.dotm</Template>
  <Company>Win7w.Com</Company>
  <Pages>31</Pages>
  <Words>17368</Words>
  <Characters>18761</Characters>
  <Lines>150</Lines>
  <Paragraphs>42</Paragraphs>
  <TotalTime>2</TotalTime>
  <ScaleCrop>false</ScaleCrop>
  <LinksUpToDate>false</LinksUpToDate>
  <CharactersWithSpaces>19738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2022-08-23T03:48:00Z</dcterms:created>
  <dc:creator>Win7w</dc:creator>
  <cp:lastModifiedBy>Administrator</cp:lastModifiedBy>
  <cp:lastPrinted>2021-06-11T06:50:00Z</cp:lastPrinted>
  <dcterms:modified xsi:type="dcterms:W3CDTF">2022-08-23T03:47:12Z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ECF2AC51A716408B9BABF5156C2E67C5</vt:lpwstr>
  </property>
</Properties>
</file>